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E4" w:rsidRDefault="00C87FE4" w:rsidP="00C87FE4">
      <w:pPr>
        <w:pStyle w:val="4"/>
        <w:shd w:val="clear" w:color="auto" w:fill="FFFFFF"/>
        <w:spacing w:before="150" w:after="150"/>
        <w:rPr>
          <w:rFonts w:ascii="Helvetica" w:hAnsi="Helvetica"/>
          <w:b w:val="0"/>
          <w:bCs w:val="0"/>
          <w:color w:val="666666"/>
          <w:sz w:val="30"/>
          <w:szCs w:val="30"/>
        </w:rPr>
      </w:pP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Краевое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государственное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казенное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учреждение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 xml:space="preserve"> </w:t>
      </w:r>
      <w:r>
        <w:rPr>
          <w:rFonts w:ascii="Helvetica" w:hAnsi="Helvetica" w:cs="Helvetica"/>
          <w:b w:val="0"/>
          <w:bCs w:val="0"/>
          <w:color w:val="666666"/>
          <w:sz w:val="30"/>
          <w:szCs w:val="30"/>
        </w:rPr>
        <w:t>«</w:t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Центр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занятости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населения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города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 xml:space="preserve"> </w:t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t>Минусинска</w:t>
      </w:r>
      <w:r>
        <w:rPr>
          <w:rFonts w:ascii="Helvetica" w:hAnsi="Helvetica"/>
          <w:b w:val="0"/>
          <w:bCs w:val="0"/>
          <w:color w:val="666666"/>
          <w:sz w:val="30"/>
          <w:szCs w:val="30"/>
        </w:rPr>
        <w:t>»</w:t>
      </w:r>
    </w:p>
    <w:p w:rsidR="00C87FE4" w:rsidRDefault="00C87FE4" w:rsidP="00C87FE4">
      <w:pPr>
        <w:spacing w:after="210" w:line="240" w:lineRule="auto"/>
        <w:rPr>
          <w:rFonts w:ascii="Arial" w:eastAsia="Times New Roman" w:hAnsi="Arial" w:cs="Arial"/>
          <w:color w:val="111111"/>
          <w:sz w:val="21"/>
          <w:szCs w:val="21"/>
          <w:u w:val="single"/>
          <w:lang w:eastAsia="ru-RU"/>
        </w:rPr>
      </w:pPr>
      <w:r w:rsidRPr="00C87FE4">
        <w:rPr>
          <w:rFonts w:ascii="Arial" w:eastAsia="Times New Roman" w:hAnsi="Arial" w:cs="Arial"/>
          <w:color w:val="111111"/>
          <w:sz w:val="21"/>
          <w:szCs w:val="21"/>
          <w:u w:val="single"/>
          <w:lang w:eastAsia="ru-RU"/>
        </w:rPr>
        <w:t>Адрес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u w:val="single"/>
          <w:lang w:eastAsia="ru-RU"/>
        </w:rPr>
        <w:t>: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  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г. Минусинск, ул. </w:t>
      </w:r>
      <w:proofErr w:type="gramStart"/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Абаканская</w:t>
      </w:r>
      <w:proofErr w:type="gramEnd"/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д. 44, пом. 4</w:t>
      </w:r>
      <w:r w:rsidRPr="00C87FE4">
        <w:rPr>
          <w:rFonts w:ascii="Arial" w:eastAsia="Times New Roman" w:hAnsi="Arial" w:cs="Arial"/>
          <w:color w:val="111111"/>
          <w:sz w:val="21"/>
          <w:szCs w:val="21"/>
          <w:u w:val="single"/>
          <w:lang w:eastAsia="ru-RU"/>
        </w:rPr>
        <w:t xml:space="preserve"> </w:t>
      </w:r>
    </w:p>
    <w:p w:rsidR="00C87FE4" w:rsidRPr="00C87FE4" w:rsidRDefault="00C87FE4" w:rsidP="00C87FE4">
      <w:pPr>
        <w:spacing w:after="210" w:line="240" w:lineRule="auto"/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</w:pPr>
      <w:bookmarkStart w:id="0" w:name="_GoBack"/>
      <w:bookmarkEnd w:id="0"/>
      <w:r w:rsidRPr="00C87FE4">
        <w:rPr>
          <w:rFonts w:ascii="Arial" w:eastAsia="Times New Roman" w:hAnsi="Arial" w:cs="Arial"/>
          <w:color w:val="111111"/>
          <w:sz w:val="21"/>
          <w:szCs w:val="21"/>
          <w:u w:val="single"/>
          <w:lang w:eastAsia="ru-RU"/>
        </w:rPr>
        <w:t>Телефон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u w:val="single"/>
          <w:lang w:eastAsia="ru-RU"/>
        </w:rPr>
        <w:t>: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 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5-71-39</w:t>
      </w:r>
    </w:p>
    <w:p w:rsidR="00C87FE4" w:rsidRDefault="00C87FE4" w:rsidP="00C87FE4">
      <w:pPr>
        <w:spacing w:after="210" w:line="240" w:lineRule="auto"/>
        <w:rPr>
          <w:rFonts w:ascii="Arial" w:eastAsia="Times New Roman" w:hAnsi="Arial" w:cs="Arial"/>
          <w:color w:val="111111"/>
          <w:sz w:val="21"/>
          <w:szCs w:val="21"/>
          <w:u w:val="single"/>
          <w:lang w:eastAsia="ru-RU"/>
        </w:rPr>
      </w:pPr>
      <w:r w:rsidRPr="00C87FE4">
        <w:rPr>
          <w:rFonts w:ascii="Arial" w:eastAsia="Times New Roman" w:hAnsi="Arial" w:cs="Arial"/>
          <w:color w:val="111111"/>
          <w:sz w:val="21"/>
          <w:szCs w:val="21"/>
          <w:u w:val="single"/>
          <w:lang w:eastAsia="ru-RU"/>
        </w:rPr>
        <w:t>Электронная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u w:val="single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u w:val="single"/>
          <w:lang w:eastAsia="ru-RU"/>
        </w:rPr>
        <w:t>почта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u w:val="single"/>
          <w:lang w:eastAsia="ru-RU"/>
        </w:rPr>
        <w:t>: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 </w:t>
      </w:r>
      <w:hyperlink r:id="rId5" w:history="1">
        <w:r>
          <w:rPr>
            <w:rStyle w:val="a4"/>
            <w:rFonts w:ascii="Helvetica" w:hAnsi="Helvetica"/>
            <w:color w:val="2994A3"/>
            <w:sz w:val="21"/>
            <w:szCs w:val="21"/>
            <w:shd w:val="clear" w:color="auto" w:fill="FFFFFF"/>
          </w:rPr>
          <w:t>gczn11@yandex.ru</w:t>
        </w:r>
      </w:hyperlink>
      <w:r w:rsidRPr="00C87FE4">
        <w:rPr>
          <w:rFonts w:ascii="Arial" w:eastAsia="Times New Roman" w:hAnsi="Arial" w:cs="Arial"/>
          <w:color w:val="111111"/>
          <w:sz w:val="21"/>
          <w:szCs w:val="21"/>
          <w:u w:val="single"/>
          <w:lang w:eastAsia="ru-RU"/>
        </w:rPr>
        <w:t xml:space="preserve"> </w:t>
      </w:r>
    </w:p>
    <w:p w:rsidR="00C87FE4" w:rsidRPr="00C87FE4" w:rsidRDefault="00C87FE4" w:rsidP="00C87FE4">
      <w:pPr>
        <w:spacing w:after="210" w:line="240" w:lineRule="auto"/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</w:pPr>
      <w:proofErr w:type="gramStart"/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помощь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безработным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гражданам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предоставляется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соответствии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постановлением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Правительства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Красноярского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от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30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августа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2012</w:t>
      </w:r>
      <w:r w:rsidRPr="00C87FE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.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№</w:t>
      </w:r>
      <w:r w:rsidRPr="00C87FE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429-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которым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утвержден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«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Порядок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условия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размер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предоставления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регистрации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качестве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юридического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лица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индивидуального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предпринимателя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либо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крестьянского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(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фермерского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)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хозяйства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гражданам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признанным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установленном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порядке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безработными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гражданам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признанным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установленном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порядке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безработными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прошедшим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профессиональное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обучение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или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получившим</w:t>
      </w:r>
      <w:proofErr w:type="gramEnd"/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proofErr w:type="gramStart"/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дополнительное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профессиональное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образование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направлению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краевых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государственных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учреждений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службы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занятости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населения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также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подготовку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документов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для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соответствующей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регистрации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перечень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расходов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финансирование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которых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предоставляется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помощь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порядок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подтверждения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получателем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исполнения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условий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предоставления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целевого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использования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средств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порядок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возврата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средств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случае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нарушения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условий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установленных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</w:t>
      </w:r>
      <w:proofErr w:type="gramEnd"/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proofErr w:type="gramStart"/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предоставлении</w:t>
      </w:r>
      <w:proofErr w:type="gramEnd"/>
      <w:r w:rsidRPr="00C87FE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»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.</w:t>
      </w:r>
    </w:p>
    <w:p w:rsidR="00C87FE4" w:rsidRPr="00C87FE4" w:rsidRDefault="00C87FE4" w:rsidP="00C87FE4">
      <w:pPr>
        <w:spacing w:after="210" w:line="240" w:lineRule="auto"/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</w:pP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помощь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регистрации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качестве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юридического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лица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индивидуального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предпринимателя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либо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крестьянского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(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фермерского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)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хозяйства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,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также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единовременная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финансовая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помощь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подготовку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документов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для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соответствующей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государственной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регистрации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предоставляется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один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течение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 xml:space="preserve"> 5 </w:t>
      </w:r>
      <w:r w:rsidRPr="00C87FE4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лет</w:t>
      </w:r>
      <w:r w:rsidRPr="00C87FE4">
        <w:rPr>
          <w:rFonts w:ascii="Helvetica" w:eastAsia="Times New Roman" w:hAnsi="Helvetica" w:cs="Times New Roman"/>
          <w:color w:val="111111"/>
          <w:sz w:val="21"/>
          <w:szCs w:val="21"/>
          <w:lang w:eastAsia="ru-RU"/>
        </w:rPr>
        <w:t>.</w:t>
      </w:r>
    </w:p>
    <w:p w:rsidR="003A4DF7" w:rsidRDefault="003A4DF7"/>
    <w:sectPr w:rsidR="003A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E4"/>
    <w:rsid w:val="003A4DF7"/>
    <w:rsid w:val="00C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FE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87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F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FE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87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zn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Ekon9_2</dc:creator>
  <cp:lastModifiedBy>Ekon9_2</cp:lastModifiedBy>
  <cp:revision>1</cp:revision>
  <dcterms:created xsi:type="dcterms:W3CDTF">2019-10-01T08:02:00Z</dcterms:created>
  <dcterms:modified xsi:type="dcterms:W3CDTF">2019-10-01T08:04:00Z</dcterms:modified>
</cp:coreProperties>
</file>