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1" w:rsidRDefault="006C1A41" w:rsidP="006C1A4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6C1A41">
        <w:rPr>
          <w:rFonts w:ascii="Bookman Old Style" w:hAnsi="Bookman Old Style"/>
          <w:b/>
          <w:sz w:val="28"/>
          <w:szCs w:val="28"/>
        </w:rPr>
        <w:t xml:space="preserve">Пояснительная записка </w:t>
      </w:r>
    </w:p>
    <w:p w:rsidR="00B83EFC" w:rsidRDefault="006C1A41" w:rsidP="006C1A41">
      <w:pPr>
        <w:jc w:val="center"/>
        <w:rPr>
          <w:rFonts w:ascii="Bookman Old Style" w:hAnsi="Bookman Old Style"/>
          <w:b/>
          <w:sz w:val="28"/>
          <w:szCs w:val="28"/>
        </w:rPr>
      </w:pPr>
      <w:r w:rsidRPr="006C1A41">
        <w:rPr>
          <w:rFonts w:ascii="Bookman Old Style" w:hAnsi="Bookman Old Style"/>
          <w:b/>
          <w:sz w:val="28"/>
          <w:szCs w:val="28"/>
        </w:rPr>
        <w:t>к докладу Главы администрации города Минусинска о достигнутых значениях показателей для оценки эффективности деятельности городского округа – город Минусинск за отчетный 201</w:t>
      </w:r>
      <w:r w:rsidR="008114F3">
        <w:rPr>
          <w:rFonts w:ascii="Bookman Old Style" w:hAnsi="Bookman Old Style"/>
          <w:b/>
          <w:sz w:val="28"/>
          <w:szCs w:val="28"/>
        </w:rPr>
        <w:t>6</w:t>
      </w:r>
      <w:r w:rsidRPr="006C1A41">
        <w:rPr>
          <w:rFonts w:ascii="Bookman Old Style" w:hAnsi="Bookman Old Style"/>
          <w:b/>
          <w:sz w:val="28"/>
          <w:szCs w:val="28"/>
        </w:rPr>
        <w:t xml:space="preserve"> год и их планируемых значениях на 3-х летний период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i/>
          <w:sz w:val="28"/>
          <w:szCs w:val="28"/>
        </w:rPr>
      </w:pPr>
      <w:r w:rsidRPr="00787ED3">
        <w:rPr>
          <w:rFonts w:ascii="Bookman Old Style" w:hAnsi="Bookman Old Style"/>
          <w:i/>
          <w:sz w:val="28"/>
          <w:szCs w:val="28"/>
        </w:rPr>
        <w:t>Федеральная и региональная нормативная правовая основа формирования системы показателей для оценки эффективности деятельности органов местного самоуправления: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Указ Президента Российской Федерации от 28.04.2008 № 607 «Об оценке </w:t>
      </w:r>
      <w:proofErr w:type="gramStart"/>
      <w:r w:rsidRPr="00787ED3">
        <w:rPr>
          <w:rFonts w:ascii="Bookman Old Style" w:hAnsi="Bookman Old Style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87ED3">
        <w:rPr>
          <w:rFonts w:ascii="Bookman Old Style" w:hAnsi="Bookman Old Style"/>
          <w:sz w:val="28"/>
          <w:szCs w:val="28"/>
        </w:rPr>
        <w:t xml:space="preserve"> и муниципальных районов»;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787ED3">
        <w:rPr>
          <w:rFonts w:ascii="Bookman Old Style" w:hAnsi="Bookman Old Style"/>
          <w:sz w:val="28"/>
          <w:szCs w:val="28"/>
        </w:rPr>
        <w:t>Постановление Правительства Российской Федерации от 17.12.2012 № 1317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  <w:proofErr w:type="gramEnd"/>
    </w:p>
    <w:p w:rsidR="00787ED3" w:rsidRPr="00787ED3" w:rsidRDefault="00787ED3" w:rsidP="00E00257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Указ Губернатора Красноярского края от 13.04.2009 № 60-уг «Об оценке </w:t>
      </w:r>
      <w:proofErr w:type="gramStart"/>
      <w:r w:rsidRPr="00787ED3">
        <w:rPr>
          <w:rFonts w:ascii="Bookman Old Style" w:hAnsi="Bookman Old Style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87ED3">
        <w:rPr>
          <w:rFonts w:ascii="Bookman Old Style" w:hAnsi="Bookman Old Style"/>
          <w:sz w:val="28"/>
          <w:szCs w:val="28"/>
        </w:rPr>
        <w:t xml:space="preserve"> и муниципальных районов Красноярского края».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i/>
          <w:sz w:val="28"/>
          <w:szCs w:val="28"/>
        </w:rPr>
      </w:pPr>
      <w:r w:rsidRPr="00787ED3">
        <w:rPr>
          <w:rFonts w:ascii="Bookman Old Style" w:hAnsi="Bookman Old Style"/>
          <w:i/>
          <w:sz w:val="28"/>
          <w:szCs w:val="28"/>
        </w:rPr>
        <w:t>Правовая основа администрации города Минусинска:</w:t>
      </w:r>
    </w:p>
    <w:p w:rsidR="00787ED3" w:rsidRDefault="00787ED3" w:rsidP="00E00257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Постановление Главы города от 07.09.2009 № 119-ПГ «О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</w:t>
      </w:r>
    </w:p>
    <w:p w:rsidR="00787ED3" w:rsidRPr="00787ED3" w:rsidRDefault="00787ED3" w:rsidP="00787ED3">
      <w:pPr>
        <w:spacing w:after="0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Характеристика Минусинска</w:t>
      </w:r>
    </w:p>
    <w:p w:rsidR="00787ED3" w:rsidRPr="00787ED3" w:rsidRDefault="00787ED3" w:rsidP="00E00257">
      <w:pPr>
        <w:tabs>
          <w:tab w:val="left" w:pos="851"/>
        </w:tabs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Минусинск является самым крупным муниципальным образованием на юге Красноярского края. В состав городского округа входят городские населенные пункты: город Минусинск и </w:t>
      </w:r>
      <w:r>
        <w:rPr>
          <w:rFonts w:ascii="Bookman Old Style" w:hAnsi="Bookman Old Style"/>
          <w:sz w:val="28"/>
          <w:szCs w:val="28"/>
        </w:rPr>
        <w:t>поселок Зеленый Бор</w:t>
      </w:r>
      <w:r w:rsidRPr="00787ED3">
        <w:rPr>
          <w:rFonts w:ascii="Bookman Old Style" w:hAnsi="Bookman Old Style"/>
          <w:sz w:val="28"/>
          <w:szCs w:val="28"/>
        </w:rPr>
        <w:t>:</w:t>
      </w:r>
    </w:p>
    <w:p w:rsidR="00787ED3" w:rsidRPr="00787ED3" w:rsidRDefault="00787ED3" w:rsidP="00E0025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lastRenderedPageBreak/>
        <w:t>площадь  территории города -  6</w:t>
      </w:r>
      <w:r>
        <w:rPr>
          <w:rFonts w:ascii="Bookman Old Style" w:hAnsi="Bookman Old Style"/>
          <w:sz w:val="28"/>
          <w:szCs w:val="28"/>
        </w:rPr>
        <w:t xml:space="preserve"> 050 га,</w:t>
      </w:r>
    </w:p>
    <w:p w:rsidR="00787ED3" w:rsidRPr="00787ED3" w:rsidRDefault="00787ED3" w:rsidP="00E0025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численность населения – </w:t>
      </w:r>
      <w:r w:rsidR="008114F3">
        <w:rPr>
          <w:rFonts w:ascii="Bookman Old Style" w:hAnsi="Bookman Old Style"/>
          <w:sz w:val="28"/>
          <w:szCs w:val="28"/>
        </w:rPr>
        <w:t>71 246</w:t>
      </w:r>
      <w:r w:rsidRPr="00787ED3">
        <w:rPr>
          <w:rFonts w:ascii="Bookman Old Style" w:hAnsi="Bookman Old Style"/>
          <w:sz w:val="28"/>
          <w:szCs w:val="28"/>
        </w:rPr>
        <w:t xml:space="preserve"> чел</w:t>
      </w:r>
      <w:r>
        <w:rPr>
          <w:rFonts w:ascii="Bookman Old Style" w:hAnsi="Bookman Old Style"/>
          <w:sz w:val="28"/>
          <w:szCs w:val="28"/>
        </w:rPr>
        <w:t>овек.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Минусинск, являясь городом краевого подчинения, расположен в южной части Красноярского края в центре обширной лесостепной Минусинской котловины на правом берегу реки Енисей в ее верхнем течении.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Минусинск имеет достаточно развитую автодорожную сеть с твердым покрытием, межрегиональное автомобильное сообщение осуществляется посредством дороги федерального значения "Красноярск-Абакан-Кызыл" и автодороги, связывающей город Минусинск с краевым центром через восточные районы края. Удаленность от краевого центра - 450 км.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Протяженность береговой линии составляет 20 км. Ближайшая железнодорожная станция расположена в 12 км от города на трассе "Абакан-Тайшет".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Воздушное сообщение осуществляется через аэропорт </w:t>
      </w:r>
      <w:r w:rsidR="0095750C">
        <w:rPr>
          <w:rFonts w:ascii="Bookman Old Style" w:hAnsi="Bookman Old Style"/>
          <w:sz w:val="28"/>
          <w:szCs w:val="28"/>
        </w:rPr>
        <w:t xml:space="preserve">города </w:t>
      </w:r>
      <w:r w:rsidRPr="00787ED3">
        <w:rPr>
          <w:rFonts w:ascii="Bookman Old Style" w:hAnsi="Bookman Old Style"/>
          <w:sz w:val="28"/>
          <w:szCs w:val="28"/>
        </w:rPr>
        <w:t>Абакана (Республика Хакасия), находящийся в 30 км от г</w:t>
      </w:r>
      <w:r w:rsidR="0095750C">
        <w:rPr>
          <w:rFonts w:ascii="Bookman Old Style" w:hAnsi="Bookman Old Style"/>
          <w:sz w:val="28"/>
          <w:szCs w:val="28"/>
        </w:rPr>
        <w:t xml:space="preserve">орода </w:t>
      </w:r>
      <w:r w:rsidRPr="00787ED3">
        <w:rPr>
          <w:rFonts w:ascii="Bookman Old Style" w:hAnsi="Bookman Old Style"/>
          <w:sz w:val="28"/>
          <w:szCs w:val="28"/>
        </w:rPr>
        <w:t>Минусинска.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Географически Минусинск расположен в непосредственной близости от Республик Хакасии и Тывы,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Хакасии Абакана (30 км) существенно влияет на экономическое развитие города.</w:t>
      </w:r>
    </w:p>
    <w:p w:rsidR="00196515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Хозяйственный комплекс города - это все предприятия, организации, предпринимательские структуры, объекты социально-культурного назначения, общественные и политические организации, структуры некоммерческого сектора, находящиеся на территории данного муниципального образования.</w:t>
      </w:r>
    </w:p>
    <w:p w:rsidR="00491FC1" w:rsidRDefault="00491FC1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491FC1" w:rsidRDefault="00491FC1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491FC1" w:rsidRDefault="00491FC1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491FC1" w:rsidRDefault="00491FC1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D64E25" w:rsidRPr="00D64E25" w:rsidRDefault="00D64E25" w:rsidP="00D64E25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12"/>
          <w:szCs w:val="12"/>
        </w:rPr>
      </w:pPr>
    </w:p>
    <w:p w:rsidR="00D64E25" w:rsidRPr="006C1A41" w:rsidRDefault="00D64E25" w:rsidP="00D64E25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C1A41">
        <w:rPr>
          <w:rFonts w:ascii="Bookman Old Style" w:hAnsi="Bookman Old Style"/>
          <w:b/>
          <w:sz w:val="28"/>
          <w:szCs w:val="28"/>
          <w:u w:val="single"/>
        </w:rPr>
        <w:lastRenderedPageBreak/>
        <w:t>Экономическое развитие</w:t>
      </w:r>
    </w:p>
    <w:p w:rsidR="00D64E25" w:rsidRDefault="00D64E25" w:rsidP="0008613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Число субъектов малого и среднего предпринимательства</w:t>
      </w:r>
    </w:p>
    <w:p w:rsidR="0007533F" w:rsidRPr="0007533F" w:rsidRDefault="0007533F" w:rsidP="0007533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 w:rsidRPr="0007533F">
        <w:rPr>
          <w:rFonts w:ascii="Bookman Old Style" w:hAnsi="Bookman Old Style" w:cs="Bookman Old Style"/>
          <w:sz w:val="28"/>
          <w:szCs w:val="28"/>
        </w:rPr>
        <w:t>Малые формы хозяйствования играют важную роль в социально – экономическом развитии муниципального образования город Минусинск. Являясь полноправными субъектами рыночных отношений, они вносят существенный вклад в обеспечение населения товарами, услугами, способствуют повышению занятости. Развитие малого предпринимательства способствует повышению качества жизни населения города Минусинска.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 xml:space="preserve">В 2016 году количество субъектов малого и среднего предпринимательства в муниципальном образовании город Минусинск составило 3 081 единица, в том числе 4 средних предприятия, 766 малых организаций (в том числе </w:t>
      </w:r>
      <w:proofErr w:type="spellStart"/>
      <w:r w:rsidRPr="0007533F">
        <w:rPr>
          <w:rFonts w:ascii="Bookman Old Style" w:hAnsi="Bookman Old Style" w:cs="Bookman Old Style"/>
          <w:sz w:val="28"/>
          <w:szCs w:val="28"/>
        </w:rPr>
        <w:t>микропредприятий</w:t>
      </w:r>
      <w:proofErr w:type="spellEnd"/>
      <w:r w:rsidRPr="0007533F">
        <w:rPr>
          <w:rFonts w:ascii="Bookman Old Style" w:hAnsi="Bookman Old Style" w:cs="Bookman Old Style"/>
          <w:sz w:val="28"/>
          <w:szCs w:val="28"/>
        </w:rPr>
        <w:t xml:space="preserve">) - юридических лиц, 2 311 индивидуальных предпринимателей. 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При этом число организаций малого бизнеса увеличилось на 15 единиц, количество индивидуальных предпринимателей сократилось на 70 единиц.</w:t>
      </w:r>
    </w:p>
    <w:p w:rsidR="0007533F" w:rsidRPr="0007533F" w:rsidRDefault="0007533F" w:rsidP="0007533F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Основными причинами прекращения деятельности предпринимателями стали – высокая налоговая нагрузка, снижение покупательской способности.</w:t>
      </w:r>
    </w:p>
    <w:p w:rsidR="0007533F" w:rsidRPr="0007533F" w:rsidRDefault="0007533F" w:rsidP="000753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Число субъектов малого и среднего предпринимательства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667"/>
        <w:gridCol w:w="1961"/>
        <w:gridCol w:w="1792"/>
        <w:gridCol w:w="1792"/>
      </w:tblGrid>
      <w:tr w:rsidR="0007533F" w:rsidRPr="0007533F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2012 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2013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2014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2015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2016</w:t>
            </w:r>
          </w:p>
        </w:tc>
      </w:tr>
      <w:tr w:rsidR="0007533F" w:rsidRPr="0007533F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3081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3093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3113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3136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07533F">
              <w:rPr>
                <w:rFonts w:ascii="Bookman Old Style" w:hAnsi="Bookman Old Style" w:cs="Bookman Old Style"/>
                <w:sz w:val="28"/>
                <w:szCs w:val="28"/>
              </w:rPr>
              <w:t>3081</w:t>
            </w:r>
          </w:p>
        </w:tc>
      </w:tr>
    </w:tbl>
    <w:p w:rsidR="0007533F" w:rsidRPr="0007533F" w:rsidRDefault="0007533F" w:rsidP="0007533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8"/>
          <w:szCs w:val="28"/>
        </w:rPr>
      </w:pP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Численность населения при этом незначительно увеличивается. Таким образом, показатель «число субъектов малого и среднего бизнеса» в исчислении на 10 000 человек населения снизился на 2 %. В период 2017-2019 годов предполагается, что данный показатель будет расти с учетом выравнивания экономической ситуации в целом.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Структура распределения организаций малого бизнеса представлена:</w:t>
      </w:r>
    </w:p>
    <w:p w:rsidR="00570B75" w:rsidRDefault="00570B75" w:rsidP="00570B7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07533F" w:rsidRDefault="0007533F" w:rsidP="0007533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noProof/>
          <w:lang w:eastAsia="ru-RU"/>
        </w:rPr>
        <w:lastRenderedPageBreak/>
        <w:drawing>
          <wp:inline distT="0" distB="0" distL="0" distR="0">
            <wp:extent cx="6096000" cy="35511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2" cy="35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В целях создания благоприятных условий для развития малого и среднего бизнеса на территории муниципального образования действует программа поддержки малого и среднего предпринимательства.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16"/>
          <w:szCs w:val="16"/>
          <w:highlight w:val="yellow"/>
        </w:rPr>
      </w:pPr>
    </w:p>
    <w:p w:rsidR="0007533F" w:rsidRPr="0007533F" w:rsidRDefault="0007533F" w:rsidP="0007533F">
      <w:pPr>
        <w:autoSpaceDE w:val="0"/>
        <w:autoSpaceDN w:val="0"/>
        <w:adjustRightInd w:val="0"/>
        <w:ind w:firstLine="851"/>
        <w:jc w:val="center"/>
        <w:rPr>
          <w:rFonts w:ascii="Bookman Old Style" w:hAnsi="Bookman Old Style" w:cs="Bookman Old Style"/>
          <w:color w:val="252525"/>
          <w:sz w:val="28"/>
          <w:szCs w:val="28"/>
        </w:rPr>
      </w:pPr>
      <w:r w:rsidRPr="0007533F">
        <w:rPr>
          <w:rFonts w:ascii="Bookman Old Style" w:hAnsi="Bookman Old Style" w:cs="Bookman Old Style"/>
          <w:color w:val="252525"/>
          <w:sz w:val="28"/>
          <w:szCs w:val="28"/>
        </w:rPr>
        <w:t>Освоение средств на оказание финансовой поддержки субъектам малого и среднего предпринимательства, (тыс. руб.)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9"/>
        <w:gridCol w:w="1418"/>
        <w:gridCol w:w="1561"/>
        <w:gridCol w:w="1667"/>
        <w:gridCol w:w="1667"/>
      </w:tblGrid>
      <w:tr w:rsidR="0007533F" w:rsidRPr="0007533F">
        <w:trPr>
          <w:trHeight w:val="86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color w:val="252525"/>
                <w:sz w:val="24"/>
                <w:szCs w:val="24"/>
              </w:rPr>
              <w:t xml:space="preserve">Источник финансирования  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ind w:left="-275" w:firstLine="275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2014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2015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2016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Итого за период 2013-2016 годы</w:t>
            </w:r>
          </w:p>
        </w:tc>
      </w:tr>
      <w:tr w:rsidR="0007533F" w:rsidRPr="0007533F">
        <w:trPr>
          <w:trHeight w:val="66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color w:val="252525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575,52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483,43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500,00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500,00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2 058,95</w:t>
            </w:r>
          </w:p>
        </w:tc>
      </w:tr>
      <w:tr w:rsidR="0007533F" w:rsidRPr="0007533F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color w:val="252525"/>
                <w:sz w:val="24"/>
                <w:szCs w:val="24"/>
              </w:rPr>
              <w:t xml:space="preserve">Краевой бюджет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1 953,00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3 240,30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2 250,00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7 443,30</w:t>
            </w:r>
          </w:p>
        </w:tc>
      </w:tr>
      <w:tr w:rsidR="0007533F" w:rsidRPr="0007533F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color w:val="252525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3 802,18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1 601,00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10 391,59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3 438,74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sz w:val="24"/>
                <w:szCs w:val="24"/>
              </w:rPr>
              <w:t>19 233,51</w:t>
            </w:r>
          </w:p>
        </w:tc>
      </w:tr>
      <w:tr w:rsidR="0007533F" w:rsidRPr="0007533F"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b/>
                <w:bCs/>
                <w:color w:val="252525"/>
                <w:sz w:val="24"/>
                <w:szCs w:val="24"/>
              </w:rPr>
              <w:t xml:space="preserve">Итого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6 330,70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5 324,73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13 141,59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3 938,74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33F" w:rsidRPr="0007533F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07533F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28 735,76</w:t>
            </w:r>
          </w:p>
        </w:tc>
      </w:tr>
    </w:tbl>
    <w:p w:rsid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В 2016 году в рамках реализации программных мероприятий поддержку получили 11проектов  субъектов малого и среднего предпринимательства. При этом</w:t>
      </w:r>
      <w:proofErr w:type="gramStart"/>
      <w:r w:rsidRPr="0007533F">
        <w:rPr>
          <w:rFonts w:ascii="Bookman Old Style" w:hAnsi="Bookman Old Style" w:cs="Bookman Old Style"/>
          <w:sz w:val="28"/>
          <w:szCs w:val="28"/>
        </w:rPr>
        <w:t>,</w:t>
      </w:r>
      <w:proofErr w:type="gramEnd"/>
      <w:r w:rsidRPr="0007533F">
        <w:rPr>
          <w:rFonts w:ascii="Bookman Old Style" w:hAnsi="Bookman Old Style" w:cs="Bookman Old Style"/>
          <w:sz w:val="28"/>
          <w:szCs w:val="28"/>
        </w:rPr>
        <w:t xml:space="preserve"> было создано 26 новых рабочих места, сохранено 389, привлечено инвестиций </w:t>
      </w:r>
      <w:r w:rsidRPr="0007533F">
        <w:rPr>
          <w:rFonts w:ascii="Bookman Old Style" w:hAnsi="Bookman Old Style" w:cs="Bookman Old Style"/>
          <w:sz w:val="28"/>
          <w:szCs w:val="28"/>
        </w:rPr>
        <w:lastRenderedPageBreak/>
        <w:t>субъектами малого и среднего предпринимательства – получателями субсидии на сумму 45,61 млн. рублей.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В целях информационной и консультационной поддержки действует Центр содействия малому и среднему предпринимательству муниципального образования город Минусинск, работающий по принципу «одно окно». В 2016 году консультационная помощь оказана 873  гражданам.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 xml:space="preserve">Начинающие предприниматели и бизнесмены могут получить финансовую помощь в рамках программ, реализующихся КГКУ «Центр занятости населения города Минусинска». В 2016 году гранты на организацию предпринимательской деятельности в размере 300 тыс. рублей получили 6 безработных граждан, 13 граждан занялись предпринимательской деятельностью, получив единовременную финансовую помощь на организацию </w:t>
      </w:r>
      <w:proofErr w:type="spellStart"/>
      <w:r w:rsidRPr="0007533F">
        <w:rPr>
          <w:rFonts w:ascii="Bookman Old Style" w:hAnsi="Bookman Old Style" w:cs="Bookman Old Style"/>
          <w:sz w:val="28"/>
          <w:szCs w:val="28"/>
        </w:rPr>
        <w:t>самозанятости</w:t>
      </w:r>
      <w:proofErr w:type="spellEnd"/>
      <w:r w:rsidRPr="0007533F">
        <w:rPr>
          <w:rFonts w:ascii="Bookman Old Style" w:hAnsi="Bookman Old Style" w:cs="Bookman Old Style"/>
          <w:sz w:val="28"/>
          <w:szCs w:val="28"/>
        </w:rPr>
        <w:t xml:space="preserve"> в размере 77 240 рублей каждый.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 xml:space="preserve">Сибирским федеральным университетом по заказу и за счет средств  АО «Агентство поддержки малого и среднего бизнеса и </w:t>
      </w:r>
      <w:proofErr w:type="spellStart"/>
      <w:r w:rsidRPr="0007533F">
        <w:rPr>
          <w:rFonts w:ascii="Bookman Old Style" w:hAnsi="Bookman Old Style" w:cs="Bookman Old Style"/>
          <w:sz w:val="28"/>
          <w:szCs w:val="28"/>
        </w:rPr>
        <w:t>микрофинансовая</w:t>
      </w:r>
      <w:proofErr w:type="spellEnd"/>
      <w:r w:rsidRPr="0007533F">
        <w:rPr>
          <w:rFonts w:ascii="Bookman Old Style" w:hAnsi="Bookman Old Style" w:cs="Bookman Old Style"/>
          <w:sz w:val="28"/>
          <w:szCs w:val="28"/>
        </w:rPr>
        <w:t xml:space="preserve"> организация» при поддержке администрации города Минусинска в 2016 года проведен семинар для специалистов субъектов малого и среднего предпринимательства с целью повышения их финансовой грамотности «Финансовая грамотность для начинающих предпринимателей».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По окончании семинаров 15 человек получили Сертификаты.</w:t>
      </w:r>
    </w:p>
    <w:p w:rsidR="0007533F" w:rsidRPr="0007533F" w:rsidRDefault="0007533F" w:rsidP="00075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70B75" w:rsidRPr="00F71519" w:rsidRDefault="00570B75" w:rsidP="00491FC1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71519">
        <w:rPr>
          <w:rFonts w:ascii="Bookman Old Style" w:hAnsi="Bookman Old Style"/>
          <w:b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В 2016 году наблюдается снижение численности работников у индивидуальных предпринимателей и средних предприятий города, при этом численность работающих в малом  бизнесе растет.</w:t>
      </w:r>
    </w:p>
    <w:p w:rsidR="0007533F" w:rsidRPr="0007533F" w:rsidRDefault="0007533F" w:rsidP="0007533F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 xml:space="preserve">Падение численности в малом и среднем бизнесе  происходит с меньшими темпами по сравнению с падением </w:t>
      </w:r>
      <w:r w:rsidRPr="0007533F">
        <w:rPr>
          <w:rFonts w:ascii="Bookman Old Style" w:hAnsi="Bookman Old Style" w:cs="Bookman Old Style"/>
          <w:sz w:val="28"/>
          <w:szCs w:val="28"/>
        </w:rPr>
        <w:lastRenderedPageBreak/>
        <w:t>численности</w:t>
      </w:r>
      <w:r w:rsidR="002849EF">
        <w:rPr>
          <w:rFonts w:ascii="Bookman Old Style" w:hAnsi="Bookman Old Style" w:cs="Bookman Old Style"/>
          <w:sz w:val="28"/>
          <w:szCs w:val="28"/>
        </w:rPr>
        <w:t xml:space="preserve"> </w:t>
      </w:r>
      <w:r w:rsidRPr="0007533F">
        <w:rPr>
          <w:rFonts w:ascii="Bookman Old Style" w:hAnsi="Bookman Old Style" w:cs="Bookman Old Style"/>
          <w:sz w:val="28"/>
          <w:szCs w:val="28"/>
        </w:rPr>
        <w:t>в целом всех организаций, в связи с этим, наблюдается увеличение показателя  в  2016 год на 1,8% по сравнению с 2015 годом.</w:t>
      </w:r>
    </w:p>
    <w:p w:rsidR="0007533F" w:rsidRPr="0007533F" w:rsidRDefault="0007533F" w:rsidP="0007533F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07533F">
        <w:rPr>
          <w:rFonts w:ascii="Bookman Old Style" w:hAnsi="Bookman Old Style" w:cs="Bookman Old Style"/>
          <w:sz w:val="28"/>
          <w:szCs w:val="28"/>
        </w:rPr>
        <w:t>В прогнозном варианте предполагается дальнейшее увеличение показателя.</w:t>
      </w:r>
    </w:p>
    <w:p w:rsidR="006C1A41" w:rsidRPr="00D64E25" w:rsidRDefault="006C1A41" w:rsidP="00491FC1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954984" w:rsidRPr="00954984" w:rsidRDefault="00AB7192" w:rsidP="0007533F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Объем инвестиций в основной капитал за счет всех источников финансирования в 201</w:t>
      </w:r>
      <w:r w:rsidR="0007533F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году составил </w:t>
      </w:r>
      <w:r w:rsidR="0007533F">
        <w:rPr>
          <w:rFonts w:ascii="Bookman Old Style" w:hAnsi="Bookman Old Style"/>
          <w:sz w:val="28"/>
          <w:szCs w:val="28"/>
        </w:rPr>
        <w:t>255 461</w:t>
      </w:r>
      <w:r>
        <w:rPr>
          <w:rFonts w:ascii="Bookman Old Style" w:hAnsi="Bookman Old Style"/>
          <w:sz w:val="28"/>
          <w:szCs w:val="28"/>
        </w:rPr>
        <w:t xml:space="preserve"> тыс. рублей, </w:t>
      </w:r>
      <w:r w:rsidR="0007533F">
        <w:rPr>
          <w:rFonts w:ascii="Bookman Old Style" w:hAnsi="Bookman Old Style"/>
          <w:sz w:val="28"/>
          <w:szCs w:val="28"/>
        </w:rPr>
        <w:t xml:space="preserve">за исключением бюджетных средств составил 177 156 тыс. рублей, </w:t>
      </w:r>
      <w:r>
        <w:rPr>
          <w:rFonts w:ascii="Bookman Old Style" w:hAnsi="Bookman Old Style"/>
          <w:sz w:val="28"/>
          <w:szCs w:val="28"/>
        </w:rPr>
        <w:t xml:space="preserve">темп роста в </w:t>
      </w:r>
      <w:r w:rsidR="00AE337F">
        <w:rPr>
          <w:rFonts w:ascii="Bookman Old Style" w:hAnsi="Bookman Old Style"/>
          <w:sz w:val="28"/>
          <w:szCs w:val="28"/>
        </w:rPr>
        <w:t>действующих</w:t>
      </w:r>
      <w:r>
        <w:rPr>
          <w:rFonts w:ascii="Bookman Old Style" w:hAnsi="Bookman Old Style"/>
          <w:sz w:val="28"/>
          <w:szCs w:val="28"/>
        </w:rPr>
        <w:t xml:space="preserve"> ценах составил </w:t>
      </w:r>
      <w:r w:rsidR="00AE337F">
        <w:rPr>
          <w:rFonts w:ascii="Bookman Old Style" w:hAnsi="Bookman Old Style"/>
          <w:sz w:val="28"/>
          <w:szCs w:val="28"/>
        </w:rPr>
        <w:t>107,4</w:t>
      </w:r>
      <w:r>
        <w:rPr>
          <w:rFonts w:ascii="Bookman Old Style" w:hAnsi="Bookman Old Style"/>
          <w:sz w:val="28"/>
          <w:szCs w:val="28"/>
        </w:rPr>
        <w:t xml:space="preserve"> %. </w:t>
      </w:r>
      <w:r w:rsidR="00954984" w:rsidRPr="00954984">
        <w:rPr>
          <w:rFonts w:ascii="Bookman Old Style" w:hAnsi="Bookman Old Style"/>
          <w:sz w:val="28"/>
          <w:szCs w:val="28"/>
        </w:rPr>
        <w:t>Объем инвестиций в основной капитал за исключением бюджетных средств в 201</w:t>
      </w:r>
      <w:r w:rsidR="0007533F">
        <w:rPr>
          <w:rFonts w:ascii="Bookman Old Style" w:hAnsi="Bookman Old Style"/>
          <w:sz w:val="28"/>
          <w:szCs w:val="28"/>
        </w:rPr>
        <w:t>7</w:t>
      </w:r>
      <w:r w:rsidR="00954984" w:rsidRPr="00954984">
        <w:rPr>
          <w:rFonts w:ascii="Bookman Old Style" w:hAnsi="Bookman Old Style"/>
          <w:sz w:val="28"/>
          <w:szCs w:val="28"/>
        </w:rPr>
        <w:t xml:space="preserve"> году </w:t>
      </w:r>
      <w:r w:rsidR="00F448BE">
        <w:rPr>
          <w:rFonts w:ascii="Bookman Old Style" w:hAnsi="Bookman Old Style"/>
          <w:sz w:val="28"/>
          <w:szCs w:val="28"/>
        </w:rPr>
        <w:t>планируется</w:t>
      </w:r>
      <w:r w:rsidR="00954984" w:rsidRPr="00954984">
        <w:rPr>
          <w:rFonts w:ascii="Bookman Old Style" w:hAnsi="Bookman Old Style"/>
          <w:sz w:val="28"/>
          <w:szCs w:val="28"/>
        </w:rPr>
        <w:t xml:space="preserve">  -  </w:t>
      </w:r>
      <w:r w:rsidR="0007533F">
        <w:rPr>
          <w:rFonts w:ascii="Bookman Old Style" w:hAnsi="Bookman Old Style"/>
          <w:sz w:val="28"/>
          <w:szCs w:val="28"/>
        </w:rPr>
        <w:t>185 702,8</w:t>
      </w:r>
      <w:r w:rsidR="00954984" w:rsidRPr="00954984">
        <w:rPr>
          <w:rFonts w:ascii="Bookman Old Style" w:hAnsi="Bookman Old Style"/>
          <w:sz w:val="28"/>
          <w:szCs w:val="28"/>
        </w:rPr>
        <w:t xml:space="preserve"> тыс. руб., темп роста  инвестиций по сравнению  201</w:t>
      </w:r>
      <w:r w:rsidR="0007533F">
        <w:rPr>
          <w:rFonts w:ascii="Bookman Old Style" w:hAnsi="Bookman Old Style"/>
          <w:sz w:val="28"/>
          <w:szCs w:val="28"/>
        </w:rPr>
        <w:t>6</w:t>
      </w:r>
      <w:r w:rsidR="00954984" w:rsidRPr="00954984">
        <w:rPr>
          <w:rFonts w:ascii="Bookman Old Style" w:hAnsi="Bookman Old Style"/>
          <w:sz w:val="28"/>
          <w:szCs w:val="28"/>
        </w:rPr>
        <w:t xml:space="preserve"> годом составил – </w:t>
      </w:r>
      <w:r w:rsidR="0007533F">
        <w:rPr>
          <w:rFonts w:ascii="Bookman Old Style" w:hAnsi="Bookman Old Style"/>
          <w:sz w:val="28"/>
          <w:szCs w:val="28"/>
        </w:rPr>
        <w:t>104,8</w:t>
      </w:r>
      <w:proofErr w:type="gramEnd"/>
      <w:r w:rsidR="00954984" w:rsidRPr="00954984">
        <w:rPr>
          <w:rFonts w:ascii="Bookman Old Style" w:hAnsi="Bookman Old Style"/>
          <w:sz w:val="28"/>
          <w:szCs w:val="28"/>
        </w:rPr>
        <w:t xml:space="preserve"> %. Следовательно, происходит увеличение объема инвестиций в расчете на 1 человека. </w:t>
      </w:r>
    </w:p>
    <w:p w:rsidR="00954984" w:rsidRPr="00954984" w:rsidRDefault="00954984" w:rsidP="005351CA">
      <w:pPr>
        <w:autoSpaceDE w:val="0"/>
        <w:autoSpaceDN w:val="0"/>
        <w:adjustRightInd w:val="0"/>
        <w:spacing w:after="0"/>
        <w:ind w:firstLine="546"/>
        <w:jc w:val="center"/>
        <w:rPr>
          <w:rFonts w:ascii="Bookman Old Style" w:hAnsi="Bookman Old Style"/>
          <w:sz w:val="28"/>
          <w:szCs w:val="28"/>
        </w:rPr>
      </w:pPr>
      <w:r w:rsidRPr="00954984">
        <w:rPr>
          <w:rFonts w:ascii="Bookman Old Style" w:hAnsi="Bookman Old Style"/>
          <w:sz w:val="28"/>
          <w:szCs w:val="28"/>
        </w:rPr>
        <w:t>Динамика объема инвестиций в основной капитал в абсолютных величинах, млн. рублей</w:t>
      </w:r>
    </w:p>
    <w:tbl>
      <w:tblPr>
        <w:tblStyle w:val="a4"/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93"/>
        <w:gridCol w:w="1417"/>
        <w:gridCol w:w="1418"/>
        <w:gridCol w:w="1418"/>
      </w:tblGrid>
      <w:tr w:rsidR="0007533F" w:rsidRPr="00954984" w:rsidTr="0007533F">
        <w:tc>
          <w:tcPr>
            <w:tcW w:w="2836" w:type="dxa"/>
            <w:vAlign w:val="center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</w:t>
            </w:r>
          </w:p>
        </w:tc>
        <w:tc>
          <w:tcPr>
            <w:tcW w:w="1417" w:type="dxa"/>
            <w:vAlign w:val="center"/>
          </w:tcPr>
          <w:p w:rsidR="0007533F" w:rsidRPr="00C40A1A" w:rsidRDefault="0007533F" w:rsidP="00302F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2015 год</w:t>
            </w:r>
          </w:p>
        </w:tc>
        <w:tc>
          <w:tcPr>
            <w:tcW w:w="1493" w:type="dxa"/>
            <w:vAlign w:val="center"/>
          </w:tcPr>
          <w:p w:rsidR="0007533F" w:rsidRPr="00C40A1A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7533F" w:rsidRPr="00C40A1A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7533F" w:rsidRPr="00C40A1A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7533F" w:rsidRPr="00C40A1A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</w:tr>
      <w:tr w:rsidR="0007533F" w:rsidRPr="00954984" w:rsidTr="0007533F">
        <w:tc>
          <w:tcPr>
            <w:tcW w:w="2836" w:type="dxa"/>
            <w:vAlign w:val="center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 в основной капитал всего, тыс. рублей</w:t>
            </w:r>
          </w:p>
        </w:tc>
        <w:tc>
          <w:tcPr>
            <w:tcW w:w="1417" w:type="dxa"/>
            <w:vAlign w:val="bottom"/>
          </w:tcPr>
          <w:p w:rsidR="0007533F" w:rsidRPr="00C40A1A" w:rsidRDefault="00AE337F" w:rsidP="00302F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527610</w:t>
            </w:r>
          </w:p>
        </w:tc>
        <w:tc>
          <w:tcPr>
            <w:tcW w:w="1493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255 461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534 090,8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558 124,9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581 566,1</w:t>
            </w:r>
          </w:p>
        </w:tc>
      </w:tr>
      <w:tr w:rsidR="0007533F" w:rsidRPr="00954984" w:rsidTr="0007533F">
        <w:tc>
          <w:tcPr>
            <w:tcW w:w="2836" w:type="dxa"/>
            <w:vAlign w:val="center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из них бюджетные средства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302F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3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62646</w:t>
            </w:r>
          </w:p>
        </w:tc>
        <w:tc>
          <w:tcPr>
            <w:tcW w:w="1493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78 305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348 388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0753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364 201,3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379 441,3</w:t>
            </w:r>
          </w:p>
        </w:tc>
      </w:tr>
      <w:tr w:rsidR="0007533F" w:rsidRPr="00954984" w:rsidTr="0007533F">
        <w:tc>
          <w:tcPr>
            <w:tcW w:w="2836" w:type="dxa"/>
            <w:vAlign w:val="center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 без бюджетных средств, тыс. рублей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302F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16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4964</w:t>
            </w:r>
          </w:p>
        </w:tc>
        <w:tc>
          <w:tcPr>
            <w:tcW w:w="1493" w:type="dxa"/>
            <w:vAlign w:val="bottom"/>
          </w:tcPr>
          <w:p w:rsidR="0007533F" w:rsidRPr="00C40A1A" w:rsidRDefault="0007533F" w:rsidP="00D8736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177 156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185 702,8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193 923,6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202 124,8</w:t>
            </w:r>
          </w:p>
        </w:tc>
      </w:tr>
      <w:tr w:rsidR="0007533F" w:rsidRPr="00954984" w:rsidTr="0007533F">
        <w:tc>
          <w:tcPr>
            <w:tcW w:w="2836" w:type="dxa"/>
            <w:vAlign w:val="center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Среднегодовая численность, человек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302F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71 120</w:t>
            </w:r>
          </w:p>
        </w:tc>
        <w:tc>
          <w:tcPr>
            <w:tcW w:w="1493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71 246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71 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366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71 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423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71 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453</w:t>
            </w:r>
          </w:p>
        </w:tc>
      </w:tr>
      <w:tr w:rsidR="0007533F" w:rsidRPr="00954984" w:rsidTr="0007533F">
        <w:tc>
          <w:tcPr>
            <w:tcW w:w="2836" w:type="dxa"/>
            <w:vAlign w:val="center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 (без бюджетных средств) на 1 жителя, рублей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 319,52</w:t>
            </w:r>
          </w:p>
        </w:tc>
        <w:tc>
          <w:tcPr>
            <w:tcW w:w="1493" w:type="dxa"/>
            <w:vAlign w:val="bottom"/>
          </w:tcPr>
          <w:p w:rsidR="0007533F" w:rsidRPr="00C40A1A" w:rsidRDefault="0007533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2 486,50</w:t>
            </w:r>
          </w:p>
        </w:tc>
        <w:tc>
          <w:tcPr>
            <w:tcW w:w="1417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2,12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5,14</w:t>
            </w:r>
          </w:p>
        </w:tc>
        <w:tc>
          <w:tcPr>
            <w:tcW w:w="1418" w:type="dxa"/>
            <w:vAlign w:val="bottom"/>
          </w:tcPr>
          <w:p w:rsidR="0007533F" w:rsidRPr="00C40A1A" w:rsidRDefault="0007533F" w:rsidP="00AE337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sz w:val="24"/>
                <w:szCs w:val="24"/>
              </w:rPr>
              <w:t>83</w:t>
            </w:r>
            <w:r w:rsidR="00AE337F">
              <w:rPr>
                <w:rFonts w:ascii="Bookman Old Style" w:hAnsi="Bookman Old Style"/>
                <w:sz w:val="24"/>
                <w:szCs w:val="24"/>
              </w:rPr>
              <w:t>8,7</w:t>
            </w:r>
          </w:p>
        </w:tc>
      </w:tr>
    </w:tbl>
    <w:p w:rsidR="00954984" w:rsidRPr="00954984" w:rsidRDefault="00954984" w:rsidP="00954984">
      <w:pPr>
        <w:spacing w:after="240"/>
        <w:ind w:firstLine="708"/>
        <w:jc w:val="both"/>
        <w:rPr>
          <w:rFonts w:ascii="Bookman Old Style" w:hAnsi="Bookman Old Style"/>
          <w:sz w:val="6"/>
          <w:szCs w:val="6"/>
        </w:rPr>
      </w:pPr>
    </w:p>
    <w:p w:rsidR="00F448BE" w:rsidRDefault="00954984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954984">
        <w:rPr>
          <w:rFonts w:ascii="Bookman Old Style" w:hAnsi="Bookman Old Style"/>
          <w:sz w:val="28"/>
          <w:szCs w:val="28"/>
        </w:rPr>
        <w:t>Та</w:t>
      </w:r>
      <w:r>
        <w:rPr>
          <w:rFonts w:ascii="Bookman Old Style" w:hAnsi="Bookman Old Style"/>
          <w:sz w:val="28"/>
          <w:szCs w:val="28"/>
        </w:rPr>
        <w:t>к</w:t>
      </w:r>
      <w:r w:rsidRPr="00954984">
        <w:rPr>
          <w:rFonts w:ascii="Bookman Old Style" w:hAnsi="Bookman Old Style"/>
          <w:sz w:val="28"/>
          <w:szCs w:val="28"/>
        </w:rPr>
        <w:t xml:space="preserve">им образом, динамика объема инвестиций показывает положительный прирост, ведь основным фактором развития в ближайшие годы по-прежнему останется реализация инвестиционных проектов. Их вклад в темпы развития будет определяющим. </w:t>
      </w:r>
    </w:p>
    <w:p w:rsidR="00954984" w:rsidRPr="00954984" w:rsidRDefault="0007533F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Увеличение </w:t>
      </w:r>
      <w:r w:rsidR="00F448BE">
        <w:rPr>
          <w:rFonts w:ascii="Bookman Old Style" w:hAnsi="Bookman Old Style"/>
          <w:sz w:val="28"/>
          <w:szCs w:val="28"/>
        </w:rPr>
        <w:t xml:space="preserve">объема инвестиций в основной капитал обусловлено увеличением бюджетных инвестиций в строительство объектов, таких как капитальный ремонт моста, реконструкция Музея, </w:t>
      </w:r>
      <w:r>
        <w:rPr>
          <w:rFonts w:ascii="Bookman Old Style" w:hAnsi="Bookman Old Style"/>
          <w:sz w:val="28"/>
          <w:szCs w:val="28"/>
        </w:rPr>
        <w:t>строительство объекта «Центр культурного развития в городе Минусинске», ремонт автомобильных дорог, строительство магистральных сетей в городе Минусинске</w:t>
      </w:r>
      <w:r w:rsidR="00F448BE">
        <w:rPr>
          <w:rFonts w:ascii="Bookman Old Style" w:hAnsi="Bookman Old Style"/>
          <w:sz w:val="28"/>
          <w:szCs w:val="28"/>
        </w:rPr>
        <w:t xml:space="preserve">.   </w:t>
      </w:r>
    </w:p>
    <w:p w:rsidR="00F448BE" w:rsidRDefault="00F448BE" w:rsidP="00F448BE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>В 201</w:t>
      </w:r>
      <w:r w:rsidR="0007533F">
        <w:rPr>
          <w:rFonts w:ascii="Bookman Old Style" w:hAnsi="Bookman Old Style"/>
          <w:sz w:val="28"/>
          <w:szCs w:val="28"/>
        </w:rPr>
        <w:t>6</w:t>
      </w:r>
      <w:r w:rsidRPr="00F448BE">
        <w:rPr>
          <w:rFonts w:ascii="Bookman Old Style" w:hAnsi="Bookman Old Style"/>
          <w:sz w:val="28"/>
          <w:szCs w:val="28"/>
        </w:rPr>
        <w:t xml:space="preserve"> году на территории муниципального образования город Минусинск реализовывались инвестиционные проекты промышленных предприятий, таких как: ЗАО «Минусинская кондитерская фабрика», ОАО «Молоко», ООО «КДВ-Минусинск».</w:t>
      </w:r>
    </w:p>
    <w:p w:rsidR="00F448BE" w:rsidRPr="00F448BE" w:rsidRDefault="00F448BE" w:rsidP="0007533F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>Кроме того, в 2015 году начались работы по реставрации по объекту «Дом, в котором с 25 по 29 сентября 1919 г. проходил первый чрезвычайный съезд рабочих, крестьянских и солдатских депутатов, избравших объединенный уездный Совет» (Дом Вильнера).</w:t>
      </w:r>
    </w:p>
    <w:p w:rsidR="009258BD" w:rsidRDefault="009258BD" w:rsidP="005351CA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плановом периоде 201</w:t>
      </w:r>
      <w:r w:rsidR="0007533F">
        <w:rPr>
          <w:rFonts w:ascii="Bookman Old Style" w:hAnsi="Bookman Old Style"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>-201</w:t>
      </w:r>
      <w:r w:rsidR="0007533F"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 xml:space="preserve"> годов планируется привлечение инвестиций на следующие объекты</w:t>
      </w:r>
      <w:r w:rsidRPr="009258BD">
        <w:rPr>
          <w:rFonts w:ascii="Bookman Old Style" w:hAnsi="Bookman Old Style"/>
          <w:sz w:val="28"/>
          <w:szCs w:val="28"/>
        </w:rPr>
        <w:t>: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</w:rPr>
        <w:t xml:space="preserve">- реконструкция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Минусинского драматического театра,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- реставрация </w:t>
      </w:r>
      <w:r w:rsidRPr="006C5A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Дом Вильнера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реставрация второго корпуса Музея,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строительство Центра культурного развития,</w:t>
      </w:r>
    </w:p>
    <w:p w:rsidR="00B955C5" w:rsidRDefault="009258BD" w:rsidP="00B955C5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капита</w:t>
      </w:r>
      <w:r w:rsidR="00B955C5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льный ремонт моста в районе ССК,</w:t>
      </w:r>
    </w:p>
    <w:p w:rsidR="0007533F" w:rsidRDefault="0007533F" w:rsidP="00B955C5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ремонт автомобильных дорог,</w:t>
      </w:r>
    </w:p>
    <w:p w:rsidR="0007533F" w:rsidRDefault="0007533F" w:rsidP="00B955C5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строительство водопроводных сетей,</w:t>
      </w:r>
    </w:p>
    <w:p w:rsidR="009258BD" w:rsidRDefault="00B955C5" w:rsidP="00F448BE">
      <w:pPr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и другие.</w:t>
      </w:r>
    </w:p>
    <w:p w:rsidR="006C1A41" w:rsidRDefault="006C1A41" w:rsidP="0031524C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площади земельных участков, являющихся объектами налогообложения земельным налогом, в общем площади территории городского округа</w:t>
      </w:r>
    </w:p>
    <w:p w:rsidR="00491FC1" w:rsidRPr="00491FC1" w:rsidRDefault="00491FC1" w:rsidP="00491FC1">
      <w:pPr>
        <w:pStyle w:val="a3"/>
        <w:ind w:left="851"/>
        <w:jc w:val="both"/>
        <w:rPr>
          <w:rFonts w:ascii="Bookman Old Style" w:hAnsi="Bookman Old Style"/>
          <w:b/>
          <w:sz w:val="12"/>
          <w:szCs w:val="12"/>
        </w:rPr>
      </w:pPr>
    </w:p>
    <w:p w:rsidR="00954984" w:rsidRDefault="000C1D6D" w:rsidP="000C1D6D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0C1D6D">
        <w:rPr>
          <w:rFonts w:ascii="Bookman Old Style" w:hAnsi="Bookman Old Style"/>
          <w:sz w:val="28"/>
          <w:szCs w:val="28"/>
        </w:rPr>
        <w:t xml:space="preserve">Доля площади </w:t>
      </w:r>
      <w:proofErr w:type="gramStart"/>
      <w:r w:rsidRPr="000C1D6D">
        <w:rPr>
          <w:rFonts w:ascii="Bookman Old Style" w:hAnsi="Bookman Old Style"/>
          <w:sz w:val="28"/>
          <w:szCs w:val="28"/>
        </w:rPr>
        <w:t>земельных участков</w:t>
      </w:r>
      <w:r>
        <w:rPr>
          <w:rFonts w:ascii="Bookman Old Style" w:hAnsi="Bookman Old Style"/>
          <w:sz w:val="28"/>
          <w:szCs w:val="28"/>
        </w:rPr>
        <w:t>, являющихся объектами налогообложения в 201</w:t>
      </w:r>
      <w:r w:rsidR="00D61160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году составила</w:t>
      </w:r>
      <w:proofErr w:type="gramEnd"/>
      <w:r w:rsidR="00491FC1">
        <w:rPr>
          <w:rFonts w:ascii="Bookman Old Style" w:hAnsi="Bookman Old Style"/>
          <w:sz w:val="28"/>
          <w:szCs w:val="28"/>
        </w:rPr>
        <w:t xml:space="preserve"> </w:t>
      </w:r>
      <w:r w:rsidR="00D61160">
        <w:rPr>
          <w:rFonts w:ascii="Bookman Old Style" w:hAnsi="Bookman Old Style"/>
          <w:sz w:val="28"/>
          <w:szCs w:val="28"/>
        </w:rPr>
        <w:t>22,84</w:t>
      </w:r>
      <w:r>
        <w:rPr>
          <w:rFonts w:ascii="Bookman Old Style" w:hAnsi="Bookman Old Style"/>
          <w:sz w:val="28"/>
          <w:szCs w:val="28"/>
        </w:rPr>
        <w:t xml:space="preserve"> %, что выше уровня 201</w:t>
      </w:r>
      <w:r w:rsidR="00D61160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года на </w:t>
      </w:r>
      <w:r w:rsidR="00D61160">
        <w:rPr>
          <w:rFonts w:ascii="Bookman Old Style" w:hAnsi="Bookman Old Style"/>
          <w:sz w:val="28"/>
          <w:szCs w:val="28"/>
        </w:rPr>
        <w:t>3,87</w:t>
      </w:r>
      <w:r>
        <w:rPr>
          <w:rFonts w:ascii="Bookman Old Style" w:hAnsi="Bookman Old Style"/>
          <w:sz w:val="28"/>
          <w:szCs w:val="28"/>
        </w:rPr>
        <w:t xml:space="preserve"> %.</w:t>
      </w:r>
    </w:p>
    <w:p w:rsidR="001027A3" w:rsidRDefault="001027A3" w:rsidP="00D64E2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Для расчета показателя использована площадь территории города Минусинска по данным </w:t>
      </w:r>
      <w:proofErr w:type="spellStart"/>
      <w:r>
        <w:rPr>
          <w:rFonts w:ascii="Bookman Old Style" w:hAnsi="Bookman Old Style"/>
          <w:sz w:val="28"/>
          <w:szCs w:val="28"/>
        </w:rPr>
        <w:t>Росреестра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491FC1" w:rsidRDefault="00491FC1" w:rsidP="00D64E2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98238E" w:rsidRDefault="0098238E" w:rsidP="00D64E2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4"/>
        <w:tblW w:w="9527" w:type="dxa"/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1276"/>
        <w:gridCol w:w="1276"/>
        <w:gridCol w:w="1134"/>
        <w:gridCol w:w="1092"/>
        <w:gridCol w:w="1097"/>
      </w:tblGrid>
      <w:tr w:rsidR="001027A3" w:rsidRPr="001027A3" w:rsidTr="00D61160">
        <w:tc>
          <w:tcPr>
            <w:tcW w:w="2660" w:type="dxa"/>
          </w:tcPr>
          <w:p w:rsidR="001027A3" w:rsidRPr="001027A3" w:rsidRDefault="001027A3" w:rsidP="00D64E25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lastRenderedPageBreak/>
              <w:t>Наименование показателя</w:t>
            </w:r>
          </w:p>
        </w:tc>
        <w:tc>
          <w:tcPr>
            <w:tcW w:w="992" w:type="dxa"/>
          </w:tcPr>
          <w:p w:rsidR="001027A3" w:rsidRPr="001027A3" w:rsidRDefault="001027A3" w:rsidP="00D61160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Ед. изм</w:t>
            </w:r>
            <w:r w:rsidR="00D61160">
              <w:rPr>
                <w:rFonts w:ascii="Bookman Old Style" w:hAnsi="Bookman Old Style"/>
              </w:rPr>
              <w:t>.</w:t>
            </w:r>
          </w:p>
        </w:tc>
        <w:tc>
          <w:tcPr>
            <w:tcW w:w="1276" w:type="dxa"/>
          </w:tcPr>
          <w:p w:rsidR="001027A3" w:rsidRPr="001027A3" w:rsidRDefault="001027A3" w:rsidP="00D61160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D61160">
              <w:rPr>
                <w:rFonts w:ascii="Bookman Old Style" w:hAnsi="Bookman Old Style"/>
              </w:rPr>
              <w:t>5</w:t>
            </w:r>
          </w:p>
        </w:tc>
        <w:tc>
          <w:tcPr>
            <w:tcW w:w="1276" w:type="dxa"/>
          </w:tcPr>
          <w:p w:rsidR="001027A3" w:rsidRPr="001027A3" w:rsidRDefault="001027A3" w:rsidP="00D61160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D61160">
              <w:rPr>
                <w:rFonts w:ascii="Bookman Old Style" w:hAnsi="Bookman Old Style"/>
              </w:rPr>
              <w:t>6</w:t>
            </w:r>
          </w:p>
        </w:tc>
        <w:tc>
          <w:tcPr>
            <w:tcW w:w="1134" w:type="dxa"/>
          </w:tcPr>
          <w:p w:rsidR="001027A3" w:rsidRPr="001027A3" w:rsidRDefault="001027A3" w:rsidP="00D61160">
            <w:pPr>
              <w:pStyle w:val="a3"/>
              <w:ind w:left="0" w:firstLine="16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D61160">
              <w:rPr>
                <w:rFonts w:ascii="Bookman Old Style" w:hAnsi="Bookman Old Style"/>
              </w:rPr>
              <w:t>7</w:t>
            </w:r>
            <w:r w:rsidRPr="001027A3">
              <w:rPr>
                <w:rFonts w:ascii="Bookman Old Style" w:hAnsi="Bookman Old Style"/>
              </w:rPr>
              <w:t xml:space="preserve"> оценка</w:t>
            </w:r>
          </w:p>
        </w:tc>
        <w:tc>
          <w:tcPr>
            <w:tcW w:w="1092" w:type="dxa"/>
          </w:tcPr>
          <w:p w:rsidR="0098238E" w:rsidRDefault="001027A3" w:rsidP="0098238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D61160">
              <w:rPr>
                <w:rFonts w:ascii="Bookman Old Style" w:hAnsi="Bookman Old Style"/>
              </w:rPr>
              <w:t>8</w:t>
            </w:r>
          </w:p>
          <w:p w:rsidR="001027A3" w:rsidRPr="001027A3" w:rsidRDefault="001027A3" w:rsidP="0098238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прогноз</w:t>
            </w:r>
          </w:p>
        </w:tc>
        <w:tc>
          <w:tcPr>
            <w:tcW w:w="1097" w:type="dxa"/>
          </w:tcPr>
          <w:p w:rsidR="00D61160" w:rsidRDefault="001027A3" w:rsidP="00D61160">
            <w:pPr>
              <w:pStyle w:val="a3"/>
              <w:ind w:left="0" w:firstLine="35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D61160">
              <w:rPr>
                <w:rFonts w:ascii="Bookman Old Style" w:hAnsi="Bookman Old Style"/>
              </w:rPr>
              <w:t>9</w:t>
            </w:r>
          </w:p>
          <w:p w:rsidR="001027A3" w:rsidRPr="001027A3" w:rsidRDefault="001027A3" w:rsidP="00D61160">
            <w:pPr>
              <w:pStyle w:val="a3"/>
              <w:ind w:left="0" w:hanging="66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прогно</w:t>
            </w:r>
            <w:r w:rsidR="00D61160">
              <w:rPr>
                <w:rFonts w:ascii="Bookman Old Style" w:hAnsi="Bookman Old Style"/>
              </w:rPr>
              <w:t>з</w:t>
            </w:r>
          </w:p>
        </w:tc>
      </w:tr>
      <w:tr w:rsidR="001027A3" w:rsidRPr="001027A3" w:rsidTr="00D61160">
        <w:tc>
          <w:tcPr>
            <w:tcW w:w="2660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Площадь земельных участков, являющихся объектами налогообложения</w:t>
            </w:r>
          </w:p>
        </w:tc>
        <w:tc>
          <w:tcPr>
            <w:tcW w:w="992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га</w:t>
            </w:r>
          </w:p>
        </w:tc>
        <w:tc>
          <w:tcPr>
            <w:tcW w:w="1276" w:type="dxa"/>
          </w:tcPr>
          <w:p w:rsid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D61160" w:rsidRPr="001027A3" w:rsidRDefault="00D61160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1 328,62</w:t>
            </w:r>
          </w:p>
        </w:tc>
        <w:tc>
          <w:tcPr>
            <w:tcW w:w="1276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98238E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1 365,11</w:t>
            </w:r>
          </w:p>
        </w:tc>
        <w:tc>
          <w:tcPr>
            <w:tcW w:w="1134" w:type="dxa"/>
          </w:tcPr>
          <w:p w:rsidR="0098238E" w:rsidRDefault="0098238E" w:rsidP="001027A3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1027A3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1 401</w:t>
            </w:r>
          </w:p>
        </w:tc>
        <w:tc>
          <w:tcPr>
            <w:tcW w:w="1092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1 436</w:t>
            </w:r>
          </w:p>
        </w:tc>
        <w:tc>
          <w:tcPr>
            <w:tcW w:w="1097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1 471</w:t>
            </w:r>
          </w:p>
        </w:tc>
      </w:tr>
      <w:tr w:rsidR="001027A3" w:rsidRPr="001027A3" w:rsidTr="00D61160">
        <w:tc>
          <w:tcPr>
            <w:tcW w:w="2660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992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процент</w:t>
            </w:r>
          </w:p>
        </w:tc>
        <w:tc>
          <w:tcPr>
            <w:tcW w:w="1276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21,96</w:t>
            </w:r>
          </w:p>
        </w:tc>
        <w:tc>
          <w:tcPr>
            <w:tcW w:w="1276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98238E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22,56</w:t>
            </w:r>
          </w:p>
        </w:tc>
        <w:tc>
          <w:tcPr>
            <w:tcW w:w="1134" w:type="dxa"/>
          </w:tcPr>
          <w:p w:rsidR="0098238E" w:rsidRDefault="0098238E" w:rsidP="001027A3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98238E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23,16</w:t>
            </w:r>
          </w:p>
        </w:tc>
        <w:tc>
          <w:tcPr>
            <w:tcW w:w="1092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98238E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23,73</w:t>
            </w:r>
          </w:p>
        </w:tc>
        <w:tc>
          <w:tcPr>
            <w:tcW w:w="1097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D61160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24,31</w:t>
            </w:r>
          </w:p>
        </w:tc>
      </w:tr>
    </w:tbl>
    <w:p w:rsidR="005A02BE" w:rsidRDefault="005A02BE" w:rsidP="005A02BE">
      <w:pPr>
        <w:pStyle w:val="a9"/>
        <w:ind w:right="-6" w:firstLine="851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5A02BE" w:rsidRPr="005A02BE" w:rsidRDefault="005A02BE" w:rsidP="00D64E25">
      <w:pPr>
        <w:pStyle w:val="a9"/>
        <w:spacing w:line="276" w:lineRule="auto"/>
        <w:ind w:right="-6" w:firstLine="851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 201</w:t>
      </w:r>
      <w:r w:rsidR="00D61160">
        <w:rPr>
          <w:rFonts w:ascii="Bookman Old Style" w:eastAsiaTheme="minorHAnsi" w:hAnsi="Bookman Old Style" w:cstheme="minorBidi"/>
          <w:sz w:val="28"/>
          <w:szCs w:val="28"/>
          <w:lang w:eastAsia="en-US"/>
        </w:rPr>
        <w:t>6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году показатель рассчитывался путем добавления площади оформленных в 201</w:t>
      </w:r>
      <w:r w:rsidR="00D61160">
        <w:rPr>
          <w:rFonts w:ascii="Bookman Old Style" w:eastAsiaTheme="minorHAnsi" w:hAnsi="Bookman Old Style" w:cstheme="minorBidi"/>
          <w:sz w:val="28"/>
          <w:szCs w:val="28"/>
          <w:lang w:eastAsia="en-US"/>
        </w:rPr>
        <w:t>6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году на праве  собственности земельных участков к площади  земельных участков, являвшихся объектами налогообложения в 201</w:t>
      </w:r>
      <w:r w:rsidR="00D61160">
        <w:rPr>
          <w:rFonts w:ascii="Bookman Old Style" w:eastAsiaTheme="minorHAnsi" w:hAnsi="Bookman Old Style" w:cstheme="minorBidi"/>
          <w:sz w:val="28"/>
          <w:szCs w:val="28"/>
          <w:lang w:eastAsia="en-US"/>
        </w:rPr>
        <w:t>5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г</w:t>
      </w:r>
      <w:r w:rsidR="00D64E25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оду</w:t>
      </w:r>
      <w:r w:rsidR="00D61160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за минусом площади земельных участков, на которые в 2016 году была проведена процедура отказа от права собственности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5A02BE" w:rsidRDefault="005A02BE" w:rsidP="00D64E25">
      <w:pPr>
        <w:pStyle w:val="a9"/>
        <w:spacing w:after="240" w:line="276" w:lineRule="auto"/>
        <w:ind w:right="-6" w:firstLine="708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Оценка доли площади земельных участков, являющихся объектами налогообложения,  по 201</w:t>
      </w:r>
      <w:r w:rsidR="00D61160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7 году 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производилась по сведениям за I квартал 201</w:t>
      </w:r>
      <w:r w:rsidR="00D61160">
        <w:rPr>
          <w:rFonts w:ascii="Bookman Old Style" w:eastAsiaTheme="minorHAnsi" w:hAnsi="Bookman Old Style" w:cstheme="minorBidi"/>
          <w:sz w:val="28"/>
          <w:szCs w:val="28"/>
          <w:lang w:eastAsia="en-US"/>
        </w:rPr>
        <w:t>7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г</w:t>
      </w:r>
      <w:r w:rsidR="00D64E25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ода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0C1D6D" w:rsidRPr="00D64E25" w:rsidRDefault="000C1D6D" w:rsidP="0031524C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 xml:space="preserve">Доля прибыльных сельскохозяйственных 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организаций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 в общем их числе</w:t>
      </w:r>
    </w:p>
    <w:p w:rsidR="000C1D6D" w:rsidRDefault="000C1D6D" w:rsidP="000C1D6D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Сельскохозяйственные организации на территории города Минусинска отсутствуют, в соответствии с этим показатель доля прибыльных сельскохозяйственных организаций равен 0.</w:t>
      </w:r>
    </w:p>
    <w:p w:rsidR="005A02BE" w:rsidRPr="005A02BE" w:rsidRDefault="005A02BE" w:rsidP="000C1D6D">
      <w:pPr>
        <w:pStyle w:val="a3"/>
        <w:ind w:left="0" w:firstLine="851"/>
        <w:jc w:val="both"/>
        <w:rPr>
          <w:rFonts w:ascii="Bookman Old Style" w:hAnsi="Bookman Old Style"/>
          <w:sz w:val="12"/>
          <w:szCs w:val="12"/>
        </w:rPr>
      </w:pPr>
    </w:p>
    <w:p w:rsidR="000C1D6D" w:rsidRPr="00D64E25" w:rsidRDefault="000C1D6D" w:rsidP="0031524C">
      <w:pPr>
        <w:pStyle w:val="a3"/>
        <w:numPr>
          <w:ilvl w:val="0"/>
          <w:numId w:val="2"/>
        </w:numPr>
        <w:spacing w:before="24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4A1D4C" w:rsidRDefault="00E90080" w:rsidP="00491FC1">
      <w:pPr>
        <w:pStyle w:val="a3"/>
        <w:spacing w:before="240"/>
        <w:ind w:left="0" w:firstLine="85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Автомобильных дорог общего пользования местного значения, не отвечающих нормативным требованиям (ГОСТ </w:t>
      </w:r>
      <w:proofErr w:type="gramStart"/>
      <w:r>
        <w:rPr>
          <w:rFonts w:ascii="Bookman Old Style" w:hAnsi="Bookman Old Style" w:cs="Bookman Old Style"/>
          <w:sz w:val="28"/>
          <w:szCs w:val="28"/>
        </w:rPr>
        <w:t>Р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50597-93 «Автомобильные дороги и улицы. </w:t>
      </w:r>
      <w:proofErr w:type="gramStart"/>
      <w:r>
        <w:rPr>
          <w:rFonts w:ascii="Bookman Old Style" w:hAnsi="Bookman Old Style" w:cs="Bookman Old Style"/>
          <w:sz w:val="28"/>
          <w:szCs w:val="28"/>
        </w:rPr>
        <w:t xml:space="preserve">Требования к эксплуатационному состоянию, допустимому по условиям обеспечения  безопасности дорожного движения») с учетом ОДН 218.0.006-2002 «правила диагностики и оценки состояния автомобильных дорог» в городском округе – город Минусинск </w:t>
      </w:r>
      <w:r>
        <w:rPr>
          <w:rFonts w:ascii="Bookman Old Style" w:hAnsi="Bookman Old Style" w:cs="Bookman Old Style"/>
          <w:sz w:val="28"/>
          <w:szCs w:val="28"/>
        </w:rPr>
        <w:lastRenderedPageBreak/>
        <w:t>составляют дороги с гравийно-песчаным покрытием протяжностью 46,7 км и грунтовых дорог протяженностью 170 км., асфальтобетонных дорог - 129,1км.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Общая протяженность автомобильных дорог общего пользования местного значения города Минусинска составляет 345,8 км.</w:t>
      </w:r>
    </w:p>
    <w:p w:rsidR="00491FC1" w:rsidRPr="004A1D4C" w:rsidRDefault="00491FC1" w:rsidP="00491FC1">
      <w:pPr>
        <w:pStyle w:val="a3"/>
        <w:spacing w:before="240"/>
        <w:ind w:left="0" w:firstLine="851"/>
        <w:jc w:val="both"/>
        <w:rPr>
          <w:rFonts w:ascii="Bookman Old Style" w:hAnsi="Bookman Old Style"/>
          <w:sz w:val="12"/>
          <w:szCs w:val="12"/>
        </w:rPr>
      </w:pPr>
    </w:p>
    <w:p w:rsidR="000C1D6D" w:rsidRPr="00D64E25" w:rsidRDefault="000C1D6D" w:rsidP="0031524C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0C1D6D" w:rsidRDefault="000C1D6D" w:rsidP="00E00257">
      <w:pPr>
        <w:widowControl w:val="0"/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соответствии с Законом Красноярского края от 18.02.2005 года № 13-3049 «Об установлении границ муниципального образования город Минусинск и наделение его статусом городского округа» в состав муниципального образования город Минусинск входят населенные пункты</w:t>
      </w:r>
      <w:r w:rsidRPr="000C1D6D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город Минусинск и городской поселок Зеленый Бор, в соответствии с этим показатель равен 0.</w:t>
      </w:r>
    </w:p>
    <w:p w:rsidR="006C1A41" w:rsidRDefault="006C1A41" w:rsidP="00270551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Среднемесячная номинальная начисленная заработная плата работников</w:t>
      </w:r>
      <w:r w:rsidRPr="006C1A41">
        <w:rPr>
          <w:rFonts w:ascii="Bookman Old Style" w:hAnsi="Bookman Old Style"/>
          <w:b/>
          <w:sz w:val="28"/>
          <w:szCs w:val="28"/>
        </w:rPr>
        <w:t>:</w:t>
      </w:r>
    </w:p>
    <w:p w:rsidR="00270551" w:rsidRPr="00270551" w:rsidRDefault="00270551" w:rsidP="00270551">
      <w:pPr>
        <w:pStyle w:val="a3"/>
        <w:ind w:left="851"/>
        <w:jc w:val="both"/>
        <w:rPr>
          <w:rFonts w:ascii="Bookman Old Style" w:hAnsi="Bookman Old Style"/>
          <w:b/>
          <w:sz w:val="12"/>
          <w:szCs w:val="12"/>
        </w:rPr>
      </w:pPr>
    </w:p>
    <w:p w:rsidR="006C1A41" w:rsidRDefault="006C1A41" w:rsidP="006C1A41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Крупных и средних предприятий и некоммерческих организаций </w:t>
      </w:r>
    </w:p>
    <w:p w:rsidR="000C1D6D" w:rsidRPr="00EE35C0" w:rsidRDefault="000C1D6D" w:rsidP="002F0F91">
      <w:pPr>
        <w:pStyle w:val="a3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EE35C0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в 201</w:t>
      </w:r>
      <w:r w:rsidR="00302FCB" w:rsidRPr="00EE35C0">
        <w:rPr>
          <w:rFonts w:ascii="Bookman Old Style" w:hAnsi="Bookman Old Style"/>
          <w:sz w:val="28"/>
          <w:szCs w:val="28"/>
        </w:rPr>
        <w:t>6</w:t>
      </w:r>
      <w:r w:rsidRPr="00EE35C0">
        <w:rPr>
          <w:rFonts w:ascii="Bookman Old Style" w:hAnsi="Bookman Old Style"/>
          <w:sz w:val="28"/>
          <w:szCs w:val="28"/>
        </w:rPr>
        <w:t xml:space="preserve"> году увеличилась в сравнении с 201</w:t>
      </w:r>
      <w:r w:rsidR="00302FCB" w:rsidRPr="00EE35C0">
        <w:rPr>
          <w:rFonts w:ascii="Bookman Old Style" w:hAnsi="Bookman Old Style"/>
          <w:sz w:val="28"/>
          <w:szCs w:val="28"/>
        </w:rPr>
        <w:t>5</w:t>
      </w:r>
      <w:r w:rsidRPr="00EE35C0">
        <w:rPr>
          <w:rFonts w:ascii="Bookman Old Style" w:hAnsi="Bookman Old Style"/>
          <w:sz w:val="28"/>
          <w:szCs w:val="28"/>
        </w:rPr>
        <w:t xml:space="preserve"> годом на </w:t>
      </w:r>
      <w:r w:rsidR="00302FCB" w:rsidRPr="00EE35C0">
        <w:rPr>
          <w:rFonts w:ascii="Bookman Old Style" w:hAnsi="Bookman Old Style"/>
          <w:sz w:val="28"/>
          <w:szCs w:val="28"/>
        </w:rPr>
        <w:t>2,87</w:t>
      </w:r>
      <w:r w:rsidRPr="00EE35C0">
        <w:rPr>
          <w:rFonts w:ascii="Bookman Old Style" w:hAnsi="Bookman Old Style"/>
          <w:sz w:val="28"/>
          <w:szCs w:val="28"/>
        </w:rPr>
        <w:t xml:space="preserve"> % и составила </w:t>
      </w:r>
      <w:r w:rsidR="00302FCB" w:rsidRPr="00EE35C0">
        <w:rPr>
          <w:rFonts w:ascii="Bookman Old Style" w:hAnsi="Bookman Old Style"/>
          <w:sz w:val="28"/>
          <w:szCs w:val="28"/>
        </w:rPr>
        <w:t>28 099,50</w:t>
      </w:r>
      <w:r w:rsidRPr="00EE35C0">
        <w:rPr>
          <w:rFonts w:ascii="Bookman Old Style" w:hAnsi="Bookman Old Style"/>
          <w:sz w:val="28"/>
          <w:szCs w:val="28"/>
        </w:rPr>
        <w:t xml:space="preserve"> рублей. В </w:t>
      </w:r>
      <w:r w:rsidR="00D64E25" w:rsidRPr="00EE35C0">
        <w:rPr>
          <w:rFonts w:ascii="Bookman Old Style" w:hAnsi="Bookman Old Style"/>
          <w:sz w:val="28"/>
          <w:szCs w:val="28"/>
        </w:rPr>
        <w:t>201</w:t>
      </w:r>
      <w:r w:rsidR="00302FCB" w:rsidRPr="00EE35C0">
        <w:rPr>
          <w:rFonts w:ascii="Bookman Old Style" w:hAnsi="Bookman Old Style"/>
          <w:sz w:val="28"/>
          <w:szCs w:val="28"/>
        </w:rPr>
        <w:t>7</w:t>
      </w:r>
      <w:r w:rsidR="00D64E25" w:rsidRPr="00EE35C0">
        <w:rPr>
          <w:rFonts w:ascii="Bookman Old Style" w:hAnsi="Bookman Old Style"/>
          <w:sz w:val="28"/>
          <w:szCs w:val="28"/>
        </w:rPr>
        <w:t>-201</w:t>
      </w:r>
      <w:r w:rsidR="00302FCB" w:rsidRPr="00EE35C0">
        <w:rPr>
          <w:rFonts w:ascii="Bookman Old Style" w:hAnsi="Bookman Old Style"/>
          <w:sz w:val="28"/>
          <w:szCs w:val="28"/>
        </w:rPr>
        <w:t>9</w:t>
      </w:r>
      <w:r w:rsidR="00D64E25" w:rsidRPr="00EE35C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D64E25" w:rsidRPr="00EE35C0">
        <w:rPr>
          <w:rFonts w:ascii="Bookman Old Style" w:hAnsi="Bookman Old Style"/>
          <w:sz w:val="28"/>
          <w:szCs w:val="28"/>
        </w:rPr>
        <w:t>годах</w:t>
      </w:r>
      <w:proofErr w:type="gramEnd"/>
      <w:r w:rsidR="00D64E25" w:rsidRPr="00EE35C0">
        <w:rPr>
          <w:rFonts w:ascii="Bookman Old Style" w:hAnsi="Bookman Old Style"/>
          <w:sz w:val="28"/>
          <w:szCs w:val="28"/>
        </w:rPr>
        <w:t xml:space="preserve"> </w:t>
      </w:r>
      <w:r w:rsidRPr="00EE35C0">
        <w:rPr>
          <w:rFonts w:ascii="Bookman Old Style" w:hAnsi="Bookman Old Style"/>
          <w:sz w:val="28"/>
          <w:szCs w:val="28"/>
        </w:rPr>
        <w:t xml:space="preserve">прослеживается динамика увеличения среднемесячной заработной платы </w:t>
      </w:r>
      <w:r w:rsidR="00302FCB" w:rsidRPr="00EE35C0">
        <w:rPr>
          <w:rFonts w:ascii="Bookman Old Style" w:hAnsi="Bookman Old Style"/>
          <w:sz w:val="28"/>
          <w:szCs w:val="28"/>
        </w:rPr>
        <w:t>на 5,50% в 2017 году,</w:t>
      </w:r>
      <w:r w:rsidR="008012A7" w:rsidRPr="00EE35C0">
        <w:rPr>
          <w:rFonts w:ascii="Bookman Old Style" w:hAnsi="Bookman Old Style"/>
          <w:sz w:val="28"/>
          <w:szCs w:val="28"/>
        </w:rPr>
        <w:t xml:space="preserve"> на 5</w:t>
      </w:r>
      <w:r w:rsidR="00302FCB" w:rsidRPr="00EE35C0">
        <w:rPr>
          <w:rFonts w:ascii="Bookman Old Style" w:hAnsi="Bookman Old Style"/>
          <w:sz w:val="28"/>
          <w:szCs w:val="28"/>
        </w:rPr>
        <w:t>,40 % в 2018, на 5,70 % в 2019 году</w:t>
      </w:r>
      <w:r w:rsidR="008012A7" w:rsidRPr="00EE35C0">
        <w:rPr>
          <w:rFonts w:ascii="Bookman Old Style" w:hAnsi="Bookman Old Style"/>
          <w:sz w:val="28"/>
          <w:szCs w:val="28"/>
        </w:rPr>
        <w:t>.</w:t>
      </w:r>
      <w:r w:rsidR="00491FC1">
        <w:rPr>
          <w:rFonts w:ascii="Bookman Old Style" w:hAnsi="Bookman Old Style"/>
          <w:sz w:val="28"/>
          <w:szCs w:val="28"/>
        </w:rPr>
        <w:t xml:space="preserve"> </w:t>
      </w:r>
      <w:r w:rsidRPr="00EE35C0">
        <w:rPr>
          <w:rFonts w:ascii="Bookman Old Style" w:hAnsi="Bookman Old Style"/>
          <w:sz w:val="28"/>
          <w:szCs w:val="28"/>
        </w:rPr>
        <w:t>Наибольший удельный вес занимают предприятия и организации в сфере финансовой деятельности.</w:t>
      </w:r>
    </w:p>
    <w:p w:rsidR="000C1D6D" w:rsidRDefault="000C1D6D" w:rsidP="002F0F91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EE35C0">
        <w:rPr>
          <w:rFonts w:ascii="Bookman Old Style" w:hAnsi="Bookman Old Style"/>
          <w:sz w:val="28"/>
          <w:szCs w:val="28"/>
        </w:rPr>
        <w:t>Администрацией города Минусинска в 201</w:t>
      </w:r>
      <w:r w:rsidR="00302FCB" w:rsidRPr="00EE35C0">
        <w:rPr>
          <w:rFonts w:ascii="Bookman Old Style" w:hAnsi="Bookman Old Style"/>
          <w:sz w:val="28"/>
          <w:szCs w:val="28"/>
        </w:rPr>
        <w:t>6</w:t>
      </w:r>
      <w:r w:rsidRPr="00EE35C0">
        <w:rPr>
          <w:rFonts w:ascii="Bookman Old Style" w:hAnsi="Bookman Old Style"/>
          <w:sz w:val="28"/>
          <w:szCs w:val="28"/>
        </w:rPr>
        <w:t xml:space="preserve"> году </w:t>
      </w:r>
      <w:r w:rsidR="00302FCB" w:rsidRPr="00EE35C0">
        <w:rPr>
          <w:rFonts w:ascii="Bookman Old Style" w:hAnsi="Bookman Old Style"/>
          <w:sz w:val="28"/>
          <w:szCs w:val="28"/>
        </w:rPr>
        <w:t>активно проводилась работа</w:t>
      </w:r>
      <w:r w:rsidRPr="00EE35C0">
        <w:rPr>
          <w:rFonts w:ascii="Bookman Old Style" w:hAnsi="Bookman Old Style"/>
          <w:sz w:val="28"/>
          <w:szCs w:val="28"/>
        </w:rPr>
        <w:t xml:space="preserve"> с «проблемными налогоплательщиками» по легализации заработной платы, в соответствии с мониторингом ситуации в организациях города.</w:t>
      </w:r>
    </w:p>
    <w:p w:rsidR="007B7A38" w:rsidRDefault="007B7A38" w:rsidP="002F0F91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0C1D6D" w:rsidRPr="000C1D6D" w:rsidRDefault="000C1D6D" w:rsidP="000C1D6D">
      <w:pPr>
        <w:pStyle w:val="a3"/>
        <w:ind w:left="0" w:firstLine="709"/>
        <w:jc w:val="both"/>
        <w:rPr>
          <w:rFonts w:ascii="Bookman Old Style" w:hAnsi="Bookman Old Style"/>
          <w:sz w:val="12"/>
          <w:szCs w:val="12"/>
        </w:rPr>
      </w:pPr>
    </w:p>
    <w:p w:rsidR="006C1A41" w:rsidRDefault="006C1A41" w:rsidP="00491FC1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Муниципальных дошкольных образовательных учреждений</w:t>
      </w:r>
    </w:p>
    <w:p w:rsidR="007B7A38" w:rsidRPr="007B7A38" w:rsidRDefault="007B7A38" w:rsidP="007B7A38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за 2016 год составила 19 631,80 тыс. рублей, что на 6,2 % выше, чем в 2015 году. </w:t>
      </w:r>
    </w:p>
    <w:p w:rsidR="007B7A38" w:rsidRPr="007B7A38" w:rsidRDefault="007B7A38" w:rsidP="007B7A38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Увеличению в 2016 году способствуют меры принятые Правительством Российской Федерации.</w:t>
      </w:r>
    </w:p>
    <w:p w:rsidR="007B7A38" w:rsidRPr="007B7A38" w:rsidRDefault="007B7A38" w:rsidP="007B7A38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Увеличение в связи с изменением типа направленности групп с целью привлечения дополнительных средств за счет сре</w:t>
      </w:r>
      <w:proofErr w:type="gramStart"/>
      <w:r w:rsidRPr="007B7A38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7B7A38">
        <w:rPr>
          <w:rFonts w:ascii="Bookman Old Style" w:hAnsi="Bookman Old Style"/>
          <w:sz w:val="28"/>
          <w:szCs w:val="28"/>
        </w:rPr>
        <w:t>аевого бюджета, а также увеличения минимального размера оплаты труда (МРОТ) с 01.01.2016г согласно регионального соглашения о минимальной заработной плате в Красноярском крае.</w:t>
      </w:r>
    </w:p>
    <w:p w:rsidR="006C1A41" w:rsidRDefault="006C1A41" w:rsidP="00491FC1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0C1D6D">
        <w:rPr>
          <w:rFonts w:ascii="Bookman Old Style" w:hAnsi="Bookman Old Style"/>
          <w:b/>
          <w:sz w:val="28"/>
          <w:szCs w:val="28"/>
        </w:rPr>
        <w:t>Муниципальных общеобразовательных учреждений</w:t>
      </w:r>
    </w:p>
    <w:p w:rsidR="007B7A38" w:rsidRPr="007B7A38" w:rsidRDefault="007B7A38" w:rsidP="007B7A38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за 2016 год составила 25 611,10 тыс. рублей, что на 1,2 % выше, чем в 2015 году.</w:t>
      </w:r>
    </w:p>
    <w:p w:rsidR="007B7A38" w:rsidRPr="007B7A38" w:rsidRDefault="007B7A38" w:rsidP="007B7A38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Среднемесячная номинальная заработная плата учителей в 2016 году составила 29 634,60 тыс. рублей.</w:t>
      </w:r>
    </w:p>
    <w:p w:rsidR="007B7A38" w:rsidRPr="007B7A38" w:rsidRDefault="007B7A38" w:rsidP="007B7A38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Увеличению заработной платы в 2016 году способствуют меры принятые Правительством Российской Федерации.</w:t>
      </w:r>
    </w:p>
    <w:p w:rsidR="007B7A38" w:rsidRPr="007B7A38" w:rsidRDefault="007B7A38" w:rsidP="007B7A38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Увеличение в связи с изменением типа направленности  обучающихся с целью привлечения дополнительных средств за счет сре</w:t>
      </w:r>
      <w:proofErr w:type="gramStart"/>
      <w:r w:rsidRPr="007B7A38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7B7A38">
        <w:rPr>
          <w:rFonts w:ascii="Bookman Old Style" w:hAnsi="Bookman Old Style"/>
          <w:sz w:val="28"/>
          <w:szCs w:val="28"/>
        </w:rPr>
        <w:t>аевого бюджета, а также увеличения минимального размера оплаты труда  (МРОТ) с 01.01.2016г согласно регионального соглашения о минимальной заработной плате в Красноярском крае.</w:t>
      </w:r>
    </w:p>
    <w:p w:rsidR="006C1A41" w:rsidRDefault="006C1A41" w:rsidP="00491FC1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Муниципальных учреждений культуры</w:t>
      </w:r>
    </w:p>
    <w:p w:rsidR="002103CF" w:rsidRPr="00EE35C0" w:rsidRDefault="00683659" w:rsidP="002103CF">
      <w:pPr>
        <w:widowControl w:val="0"/>
        <w:suppressAutoHyphens/>
        <w:spacing w:after="0"/>
        <w:ind w:firstLine="737"/>
        <w:jc w:val="both"/>
        <w:rPr>
          <w:rFonts w:ascii="Bookman Old Style" w:hAnsi="Bookman Old Style"/>
          <w:sz w:val="28"/>
          <w:szCs w:val="28"/>
        </w:rPr>
      </w:pPr>
      <w:r w:rsidRPr="00EE35C0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за 201</w:t>
      </w:r>
      <w:r w:rsidR="009147F2" w:rsidRPr="00EE35C0">
        <w:rPr>
          <w:rFonts w:ascii="Bookman Old Style" w:hAnsi="Bookman Old Style"/>
          <w:sz w:val="28"/>
          <w:szCs w:val="28"/>
        </w:rPr>
        <w:t>6</w:t>
      </w:r>
      <w:r w:rsidRPr="00EE35C0">
        <w:rPr>
          <w:rFonts w:ascii="Bookman Old Style" w:hAnsi="Bookman Old Style"/>
          <w:sz w:val="28"/>
          <w:szCs w:val="28"/>
        </w:rPr>
        <w:t xml:space="preserve"> год составила </w:t>
      </w:r>
      <w:r w:rsidR="009147F2" w:rsidRPr="00EE35C0">
        <w:rPr>
          <w:rFonts w:ascii="Bookman Old Style" w:hAnsi="Bookman Old Style"/>
          <w:sz w:val="28"/>
          <w:szCs w:val="28"/>
        </w:rPr>
        <w:t>18 041,35</w:t>
      </w:r>
      <w:r w:rsidRPr="00EE35C0">
        <w:rPr>
          <w:rFonts w:ascii="Bookman Old Style" w:hAnsi="Bookman Old Style"/>
          <w:sz w:val="28"/>
          <w:szCs w:val="28"/>
        </w:rPr>
        <w:t xml:space="preserve"> тыс. рублей, что на </w:t>
      </w:r>
      <w:r w:rsidR="009147F2" w:rsidRPr="00EE35C0">
        <w:rPr>
          <w:rFonts w:ascii="Bookman Old Style" w:hAnsi="Bookman Old Style"/>
          <w:sz w:val="28"/>
          <w:szCs w:val="28"/>
        </w:rPr>
        <w:t>1,65</w:t>
      </w:r>
      <w:r w:rsidRPr="00EE35C0">
        <w:rPr>
          <w:rFonts w:ascii="Bookman Old Style" w:hAnsi="Bookman Old Style"/>
          <w:sz w:val="28"/>
          <w:szCs w:val="28"/>
        </w:rPr>
        <w:t xml:space="preserve"> % выше, чем в 201</w:t>
      </w:r>
      <w:r w:rsidR="009147F2" w:rsidRPr="00EE35C0">
        <w:rPr>
          <w:rFonts w:ascii="Bookman Old Style" w:hAnsi="Bookman Old Style"/>
          <w:sz w:val="28"/>
          <w:szCs w:val="28"/>
        </w:rPr>
        <w:t>5</w:t>
      </w:r>
      <w:r w:rsidRPr="00EE35C0">
        <w:rPr>
          <w:rFonts w:ascii="Bookman Old Style" w:hAnsi="Bookman Old Style"/>
          <w:sz w:val="28"/>
          <w:szCs w:val="28"/>
        </w:rPr>
        <w:t xml:space="preserve"> году.</w:t>
      </w:r>
    </w:p>
    <w:p w:rsidR="002103CF" w:rsidRPr="00EE35C0" w:rsidRDefault="002103CF" w:rsidP="002103CF">
      <w:pPr>
        <w:widowControl w:val="0"/>
        <w:suppressAutoHyphens/>
        <w:spacing w:after="0"/>
        <w:ind w:firstLine="737"/>
        <w:jc w:val="both"/>
        <w:rPr>
          <w:rFonts w:ascii="Bookman Old Style" w:hAnsi="Bookman Old Style"/>
          <w:bCs/>
          <w:sz w:val="28"/>
          <w:szCs w:val="28"/>
        </w:rPr>
      </w:pPr>
      <w:r w:rsidRPr="00EE35C0">
        <w:rPr>
          <w:rFonts w:ascii="Bookman Old Style" w:hAnsi="Bookman Old Style"/>
          <w:sz w:val="28"/>
          <w:szCs w:val="28"/>
        </w:rPr>
        <w:lastRenderedPageBreak/>
        <w:t xml:space="preserve">Расхождение данных по уровню заработной платы объясняется тем, что в данные </w:t>
      </w:r>
      <w:proofErr w:type="spellStart"/>
      <w:r w:rsidRPr="00EE35C0">
        <w:rPr>
          <w:rFonts w:ascii="Bookman Old Style" w:hAnsi="Bookman Old Style"/>
          <w:sz w:val="28"/>
          <w:szCs w:val="28"/>
        </w:rPr>
        <w:t>Красноярскстата</w:t>
      </w:r>
      <w:proofErr w:type="spellEnd"/>
      <w:r w:rsidRPr="00EE35C0">
        <w:rPr>
          <w:rFonts w:ascii="Bookman Old Style" w:hAnsi="Bookman Old Style"/>
          <w:sz w:val="28"/>
          <w:szCs w:val="28"/>
        </w:rPr>
        <w:t xml:space="preserve"> помимо учреждений культуры включены </w:t>
      </w:r>
      <w:proofErr w:type="spellStart"/>
      <w:r w:rsidRPr="00EE35C0">
        <w:rPr>
          <w:rFonts w:ascii="Bookman Old Style" w:hAnsi="Bookman Old Style"/>
          <w:sz w:val="28"/>
          <w:szCs w:val="28"/>
        </w:rPr>
        <w:t>Межпоселенческая</w:t>
      </w:r>
      <w:proofErr w:type="spellEnd"/>
      <w:r w:rsidRPr="00EE35C0">
        <w:rPr>
          <w:rFonts w:ascii="Bookman Old Style" w:hAnsi="Bookman Old Style"/>
          <w:sz w:val="28"/>
          <w:szCs w:val="28"/>
        </w:rPr>
        <w:t xml:space="preserve"> библиотечная система Минусинского района, зарегистрированная  на территории города Минусинска, и МКУ «Архив города Минусинска», которые не является подведомственным учреждением культуры.</w:t>
      </w:r>
    </w:p>
    <w:p w:rsidR="00557AC5" w:rsidRPr="00EE35C0" w:rsidRDefault="00557AC5" w:rsidP="00557AC5">
      <w:pPr>
        <w:widowControl w:val="0"/>
        <w:suppressAutoHyphens/>
        <w:spacing w:after="0"/>
        <w:ind w:firstLine="737"/>
        <w:jc w:val="both"/>
        <w:rPr>
          <w:rFonts w:ascii="Bookman Old Style" w:hAnsi="Bookman Old Style"/>
          <w:sz w:val="28"/>
          <w:szCs w:val="28"/>
        </w:rPr>
      </w:pPr>
      <w:r w:rsidRPr="00EE35C0">
        <w:rPr>
          <w:rFonts w:ascii="Bookman Old Style" w:hAnsi="Bookman Old Style"/>
          <w:sz w:val="28"/>
          <w:szCs w:val="28"/>
        </w:rPr>
        <w:t>При расчете  показателя учтена заработная плата за 201</w:t>
      </w:r>
      <w:r w:rsidR="007415CD" w:rsidRPr="00EE35C0">
        <w:rPr>
          <w:rFonts w:ascii="Bookman Old Style" w:hAnsi="Bookman Old Style"/>
          <w:sz w:val="28"/>
          <w:szCs w:val="28"/>
        </w:rPr>
        <w:t>6</w:t>
      </w:r>
      <w:r w:rsidRPr="00EE35C0">
        <w:rPr>
          <w:rFonts w:ascii="Bookman Old Style" w:hAnsi="Bookman Old Style"/>
          <w:sz w:val="28"/>
          <w:szCs w:val="28"/>
        </w:rPr>
        <w:t xml:space="preserve"> год учреждений культуры: МБУК ДК поселка Зеленый Бор, МБУК ГДК, МБУК МКМ, МБУК МКГК, МБУК МГЦБС. Фонд зараб</w:t>
      </w:r>
      <w:r w:rsidR="002103CF" w:rsidRPr="00EE35C0">
        <w:rPr>
          <w:rFonts w:ascii="Bookman Old Style" w:hAnsi="Bookman Old Style"/>
          <w:sz w:val="28"/>
          <w:szCs w:val="28"/>
        </w:rPr>
        <w:t>отной платы за 2016 год составил 59 904,5</w:t>
      </w:r>
      <w:r w:rsidRPr="00EE35C0">
        <w:rPr>
          <w:rFonts w:ascii="Bookman Old Style" w:hAnsi="Bookman Old Style"/>
          <w:sz w:val="28"/>
          <w:szCs w:val="28"/>
        </w:rPr>
        <w:t xml:space="preserve"> тыс. руб. со </w:t>
      </w:r>
      <w:r w:rsidR="002103CF" w:rsidRPr="00EE35C0">
        <w:rPr>
          <w:rFonts w:ascii="Bookman Old Style" w:hAnsi="Bookman Old Style"/>
          <w:sz w:val="28"/>
          <w:szCs w:val="28"/>
        </w:rPr>
        <w:t>среднесписочной численностью 276,7</w:t>
      </w:r>
      <w:r w:rsidRPr="00EE35C0">
        <w:rPr>
          <w:rFonts w:ascii="Bookman Old Style" w:hAnsi="Bookman Old Style"/>
          <w:sz w:val="28"/>
          <w:szCs w:val="28"/>
        </w:rPr>
        <w:t xml:space="preserve"> человека.</w:t>
      </w:r>
    </w:p>
    <w:p w:rsidR="00683659" w:rsidRDefault="00D64E25" w:rsidP="00557AC5">
      <w:pPr>
        <w:ind w:firstLine="85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E35C0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</w:t>
      </w:r>
      <w:r w:rsidR="00683659" w:rsidRPr="00EE35C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реднемесячная номинальная заработная плата </w:t>
      </w:r>
      <w:r w:rsidRPr="00EE35C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на </w:t>
      </w:r>
      <w:r w:rsidR="00683659" w:rsidRPr="00EE35C0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плановый период предусмотрена в соответствии с основными подходами к формированию местных бюджетов.</w:t>
      </w:r>
    </w:p>
    <w:p w:rsidR="006C1A41" w:rsidRPr="00D64E25" w:rsidRDefault="006C1A41" w:rsidP="00491FC1">
      <w:pPr>
        <w:pStyle w:val="a3"/>
        <w:numPr>
          <w:ilvl w:val="1"/>
          <w:numId w:val="2"/>
        </w:numPr>
        <w:spacing w:before="240" w:after="0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Муниципальных учреждений физической культуры и спорта</w:t>
      </w:r>
    </w:p>
    <w:p w:rsidR="00683659" w:rsidRPr="00DA2E45" w:rsidRDefault="00683659" w:rsidP="0068365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DA2E45">
        <w:rPr>
          <w:rFonts w:ascii="Bookman Old Style" w:hAnsi="Bookman Old Style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</w:t>
      </w:r>
      <w:r w:rsidR="00CB112D" w:rsidRPr="00DA2E45">
        <w:rPr>
          <w:rFonts w:ascii="Bookman Old Style" w:hAnsi="Bookman Old Style"/>
          <w:sz w:val="28"/>
          <w:szCs w:val="28"/>
        </w:rPr>
        <w:t xml:space="preserve">физической культуры и спорта </w:t>
      </w:r>
      <w:r w:rsidRPr="00DA2E45">
        <w:rPr>
          <w:rFonts w:ascii="Bookman Old Style" w:hAnsi="Bookman Old Style"/>
          <w:sz w:val="28"/>
          <w:szCs w:val="28"/>
        </w:rPr>
        <w:t>за 201</w:t>
      </w:r>
      <w:r w:rsidR="00DA2E45" w:rsidRPr="00DA2E45">
        <w:rPr>
          <w:rFonts w:ascii="Bookman Old Style" w:hAnsi="Bookman Old Style"/>
          <w:sz w:val="28"/>
          <w:szCs w:val="28"/>
        </w:rPr>
        <w:t>6</w:t>
      </w:r>
      <w:r w:rsidRPr="00DA2E45">
        <w:rPr>
          <w:rFonts w:ascii="Bookman Old Style" w:hAnsi="Bookman Old Style"/>
          <w:sz w:val="28"/>
          <w:szCs w:val="28"/>
        </w:rPr>
        <w:t xml:space="preserve"> год составила </w:t>
      </w:r>
      <w:r w:rsidR="00DA2E45" w:rsidRPr="00DA2E45">
        <w:rPr>
          <w:rFonts w:ascii="Bookman Old Style" w:hAnsi="Bookman Old Style"/>
          <w:sz w:val="28"/>
          <w:szCs w:val="28"/>
        </w:rPr>
        <w:t>20 823,67</w:t>
      </w:r>
      <w:r w:rsidRPr="00DA2E45">
        <w:rPr>
          <w:rFonts w:ascii="Bookman Old Style" w:hAnsi="Bookman Old Style"/>
          <w:sz w:val="28"/>
          <w:szCs w:val="28"/>
        </w:rPr>
        <w:t xml:space="preserve"> тыс. рублей, что на </w:t>
      </w:r>
      <w:r w:rsidR="00DA2E45" w:rsidRPr="00DA2E45">
        <w:rPr>
          <w:rFonts w:ascii="Bookman Old Style" w:hAnsi="Bookman Old Style"/>
          <w:sz w:val="28"/>
          <w:szCs w:val="28"/>
        </w:rPr>
        <w:t>4,88</w:t>
      </w:r>
      <w:r w:rsidRPr="00DA2E45">
        <w:rPr>
          <w:rFonts w:ascii="Bookman Old Style" w:hAnsi="Bookman Old Style"/>
          <w:sz w:val="28"/>
          <w:szCs w:val="28"/>
        </w:rPr>
        <w:t xml:space="preserve"> % выше, чем в 201</w:t>
      </w:r>
      <w:r w:rsidR="00DA2E45" w:rsidRPr="00DA2E45">
        <w:rPr>
          <w:rFonts w:ascii="Bookman Old Style" w:hAnsi="Bookman Old Style"/>
          <w:sz w:val="28"/>
          <w:szCs w:val="28"/>
        </w:rPr>
        <w:t>5</w:t>
      </w:r>
      <w:r w:rsidRPr="00DA2E45">
        <w:rPr>
          <w:rFonts w:ascii="Bookman Old Style" w:hAnsi="Bookman Old Style"/>
          <w:sz w:val="28"/>
          <w:szCs w:val="28"/>
        </w:rPr>
        <w:t xml:space="preserve"> году.</w:t>
      </w:r>
      <w:r w:rsidR="00D64E25" w:rsidRP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Увеличению заработной платы работникам муниципальных учреждений физической культуры и спорта способствуют меры принятые Правительств</w:t>
      </w:r>
      <w:r w:rsid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ами</w:t>
      </w:r>
      <w:r w:rsidR="00D64E25" w:rsidRP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Российской Федерации</w:t>
      </w:r>
      <w:r w:rsid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Красноярского края.</w:t>
      </w:r>
    </w:p>
    <w:p w:rsidR="00683659" w:rsidRPr="00683659" w:rsidRDefault="00683659" w:rsidP="00683659">
      <w:pPr>
        <w:ind w:firstLine="851"/>
        <w:jc w:val="both"/>
        <w:rPr>
          <w:rFonts w:ascii="Bookman Old Style" w:hAnsi="Bookman Old Style"/>
          <w:b/>
          <w:sz w:val="28"/>
          <w:szCs w:val="28"/>
        </w:rPr>
      </w:pPr>
      <w:r w:rsidRP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Среднемесячная номинальная заработная плата на 201</w:t>
      </w:r>
      <w:r w:rsidR="00DA2E45" w:rsidRP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>7</w:t>
      </w:r>
      <w:r w:rsidRPr="00DA2E4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 </w:t>
      </w:r>
      <w:r w:rsidR="0087429D" w:rsidRPr="00DA2E45">
        <w:rPr>
          <w:rFonts w:ascii="Bookman Old Style" w:hAnsi="Bookman Old Style"/>
          <w:sz w:val="28"/>
          <w:szCs w:val="28"/>
        </w:rPr>
        <w:t xml:space="preserve">предусмотрена с ростом </w:t>
      </w:r>
      <w:r w:rsidR="00DA2E45" w:rsidRPr="00DA2E45">
        <w:rPr>
          <w:rFonts w:ascii="Bookman Old Style" w:hAnsi="Bookman Old Style"/>
          <w:sz w:val="28"/>
          <w:szCs w:val="28"/>
        </w:rPr>
        <w:t>5,5</w:t>
      </w:r>
      <w:r w:rsidR="0087429D" w:rsidRPr="00DA2E45">
        <w:rPr>
          <w:rFonts w:ascii="Bookman Old Style" w:hAnsi="Bookman Old Style"/>
          <w:sz w:val="28"/>
          <w:szCs w:val="28"/>
        </w:rPr>
        <w:t xml:space="preserve"> %</w:t>
      </w:r>
      <w:r w:rsidR="00DA2E45" w:rsidRPr="00DA2E45">
        <w:rPr>
          <w:rFonts w:ascii="Bookman Old Style" w:hAnsi="Bookman Old Style"/>
          <w:sz w:val="28"/>
          <w:szCs w:val="28"/>
        </w:rPr>
        <w:t>, в 2018 году 5,4 %, в 2019 году 5,7 %.</w:t>
      </w:r>
    </w:p>
    <w:p w:rsidR="006C1A41" w:rsidRDefault="006C1A41" w:rsidP="00491FC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Дошкольное образование</w:t>
      </w:r>
    </w:p>
    <w:p w:rsidR="007B7A38" w:rsidRPr="007B7A38" w:rsidRDefault="007B7A38" w:rsidP="007B7A38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В городе Минусинске функционируют 19 дошкольных образовательных бюджетных учреждений, которые в 2015 году посещали 4070 детей. В этих учреждениях функционирует 216 групп из них:</w:t>
      </w:r>
    </w:p>
    <w:p w:rsidR="007B7A38" w:rsidRPr="007B7A38" w:rsidRDefault="007B7A38" w:rsidP="007B7A38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- общеразвивающих групп – 118;</w:t>
      </w:r>
    </w:p>
    <w:p w:rsidR="007B7A38" w:rsidRPr="007B7A38" w:rsidRDefault="007B7A38" w:rsidP="007B7A38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- группы раннего возраста – 19;</w:t>
      </w:r>
    </w:p>
    <w:p w:rsidR="007B7A38" w:rsidRPr="007B7A38" w:rsidRDefault="007B7A38" w:rsidP="007B7A38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- комбинированных групп – 18;</w:t>
      </w:r>
    </w:p>
    <w:p w:rsidR="007B7A38" w:rsidRPr="007B7A38" w:rsidRDefault="007B7A38" w:rsidP="007B7A38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- оздоровительных групп – 11;</w:t>
      </w:r>
    </w:p>
    <w:p w:rsidR="007B7A38" w:rsidRPr="007B7A38" w:rsidRDefault="007B7A38" w:rsidP="007B7A38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t>- коррекционных групп – 50.</w:t>
      </w:r>
    </w:p>
    <w:p w:rsidR="007B7A38" w:rsidRPr="007B7A38" w:rsidRDefault="007B7A38" w:rsidP="007B7A38">
      <w:pPr>
        <w:pStyle w:val="a5"/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7B7A38">
        <w:rPr>
          <w:rFonts w:ascii="Bookman Old Style" w:hAnsi="Bookman Old Style"/>
          <w:sz w:val="28"/>
          <w:szCs w:val="28"/>
        </w:rPr>
        <w:lastRenderedPageBreak/>
        <w:t>Шесть блоков для детей шести лет (в МОБУ «СОШ № 2», МОБУ «ООШ № 5», МОБУ «СОШ № 4», МОБУ «СОШ № 6» и МОБУ «Гимназии № 1», МОБУ «ЛИЦЕЙ №7») посещают 262 детей в режиме полного рабочего дня. Программа дошкольного образования реализуется для 4303 детей (на 01.01.16 г.).</w:t>
      </w:r>
    </w:p>
    <w:p w:rsidR="001C3466" w:rsidRDefault="006C1A41" w:rsidP="00213A2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 xml:space="preserve">Доля детей в возрасте 1-6 лет, получающих дошкольную общеобразовательную услугу и (или) услугу по их содержанию в муниципальных общеобразовательных </w:t>
      </w:r>
      <w:r w:rsidR="00DC7EE7" w:rsidRPr="00DC7EE7">
        <w:rPr>
          <w:rFonts w:ascii="Bookman Old Style" w:hAnsi="Bookman Old Style"/>
          <w:b/>
          <w:sz w:val="28"/>
          <w:szCs w:val="28"/>
        </w:rPr>
        <w:t>учреждениях в общей численности детей в возрасте 1-6 лет</w:t>
      </w:r>
    </w:p>
    <w:p w:rsidR="001C3466" w:rsidRPr="001C3466" w:rsidRDefault="001C3466" w:rsidP="001C3466">
      <w:pPr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1C346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в 201</w:t>
      </w:r>
      <w:r w:rsidR="007B7A38">
        <w:rPr>
          <w:rFonts w:ascii="Bookman Old Style" w:eastAsia="Times New Roman" w:hAnsi="Bookman Old Style" w:cs="Times New Roman"/>
          <w:sz w:val="28"/>
          <w:szCs w:val="28"/>
          <w:lang w:eastAsia="ru-RU"/>
        </w:rPr>
        <w:t>6</w:t>
      </w:r>
      <w:r w:rsidRPr="001C346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году увеличилась, </w:t>
      </w:r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 xml:space="preserve">уменьшилась (на 0,8 %) </w:t>
      </w:r>
      <w:r w:rsidR="00EE35C0" w:rsidRPr="00AF6180">
        <w:rPr>
          <w:rFonts w:ascii="Bookman Old Style" w:eastAsia="Times New Roman" w:hAnsi="Bookman Old Style"/>
          <w:sz w:val="28"/>
          <w:szCs w:val="28"/>
          <w:lang w:eastAsia="ru-RU"/>
        </w:rPr>
        <w:t xml:space="preserve">в связи с закрытием двух </w:t>
      </w:r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 xml:space="preserve">подготовительных </w:t>
      </w:r>
      <w:r w:rsidR="00EE35C0" w:rsidRPr="00AF6180">
        <w:rPr>
          <w:rFonts w:ascii="Bookman Old Style" w:eastAsia="Times New Roman" w:hAnsi="Bookman Old Style"/>
          <w:sz w:val="28"/>
          <w:szCs w:val="28"/>
          <w:lang w:eastAsia="ru-RU"/>
        </w:rPr>
        <w:t xml:space="preserve">групп в </w:t>
      </w:r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>МАОУ «Гимназия №1» и отсутствием детей в очереди старше 3- летнего возраста, нуждающихся в предоставлении места в</w:t>
      </w:r>
      <w:proofErr w:type="gramEnd"/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  <w:proofErr w:type="gramStart"/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>детском саду.</w:t>
      </w:r>
      <w:proofErr w:type="gramEnd"/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 xml:space="preserve"> В связи с этим открыты группы для детей раннего возраста, что привело к снижению общей численности детей в ДОУ, </w:t>
      </w:r>
      <w:r w:rsidR="00491FC1">
        <w:rPr>
          <w:rFonts w:ascii="Bookman Old Style" w:eastAsia="Times New Roman" w:hAnsi="Bookman Old Style"/>
          <w:sz w:val="28"/>
          <w:szCs w:val="28"/>
          <w:lang w:eastAsia="ru-RU"/>
        </w:rPr>
        <w:t>так как</w:t>
      </w:r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 xml:space="preserve"> по нормам </w:t>
      </w:r>
      <w:proofErr w:type="spellStart"/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>СанПин</w:t>
      </w:r>
      <w:proofErr w:type="spellEnd"/>
      <w:r w:rsidR="00EE35C0">
        <w:rPr>
          <w:rFonts w:ascii="Bookman Old Style" w:eastAsia="Times New Roman" w:hAnsi="Bookman Old Style"/>
          <w:sz w:val="28"/>
          <w:szCs w:val="28"/>
          <w:lang w:eastAsia="ru-RU"/>
        </w:rPr>
        <w:t xml:space="preserve"> предельная наполняемость группы для детей раннего возраста меньше, чем для детей старше 3-х лет.</w:t>
      </w:r>
    </w:p>
    <w:p w:rsidR="00DC7EE7" w:rsidRDefault="00DC7EE7" w:rsidP="00213A2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EE35C0" w:rsidRPr="002C48F8" w:rsidRDefault="00EE35C0" w:rsidP="00EE35C0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bCs/>
          <w:szCs w:val="28"/>
        </w:rPr>
      </w:pPr>
      <w:r w:rsidRPr="002C48F8">
        <w:rPr>
          <w:rFonts w:ascii="Bookman Old Style" w:hAnsi="Bookman Old Style"/>
          <w:sz w:val="28"/>
          <w:szCs w:val="28"/>
        </w:rPr>
        <w:t xml:space="preserve">По состоянию на 01.01.2017 года  в муниципальном образовании на учёте для определения в дошкольные образовательные учреждения состоял - </w:t>
      </w:r>
      <w:r w:rsidRPr="002C48F8">
        <w:rPr>
          <w:rFonts w:ascii="Bookman Old Style" w:hAnsi="Bookman Old Style"/>
          <w:b/>
          <w:bCs/>
          <w:sz w:val="28"/>
          <w:szCs w:val="28"/>
        </w:rPr>
        <w:t>2 223 ребенка.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2C48F8">
        <w:rPr>
          <w:rFonts w:ascii="Bookman Old Style" w:hAnsi="Bookman Old Style"/>
          <w:bCs/>
          <w:sz w:val="28"/>
          <w:szCs w:val="28"/>
        </w:rPr>
        <w:t>Из них дети:</w:t>
      </w:r>
    </w:p>
    <w:p w:rsidR="00DC7EE7" w:rsidRPr="00D64E25" w:rsidRDefault="00DC7EE7" w:rsidP="00DC7EE7">
      <w:pPr>
        <w:pStyle w:val="a5"/>
        <w:spacing w:before="0" w:beforeAutospacing="0" w:after="0" w:afterAutospacing="0" w:line="276" w:lineRule="auto"/>
        <w:ind w:left="786"/>
        <w:jc w:val="both"/>
        <w:rPr>
          <w:rStyle w:val="a6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C7EE7" w:rsidRPr="005C5E90" w:rsidTr="001027A3">
        <w:tc>
          <w:tcPr>
            <w:tcW w:w="4644" w:type="dxa"/>
            <w:shd w:val="clear" w:color="auto" w:fill="auto"/>
          </w:tcPr>
          <w:p w:rsidR="00DC7EE7" w:rsidRPr="005C5E90" w:rsidRDefault="00DC7EE7" w:rsidP="001027A3">
            <w:pPr>
              <w:pStyle w:val="a5"/>
              <w:spacing w:line="276" w:lineRule="auto"/>
              <w:jc w:val="center"/>
              <w:rPr>
                <w:rStyle w:val="a6"/>
                <w:b w:val="0"/>
                <w:sz w:val="28"/>
              </w:rPr>
            </w:pPr>
            <w:r w:rsidRPr="005C5E90">
              <w:rPr>
                <w:rStyle w:val="a6"/>
                <w:sz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DC7EE7" w:rsidRPr="005C5E90" w:rsidRDefault="00DC7EE7" w:rsidP="00A4466C">
            <w:pPr>
              <w:pStyle w:val="a5"/>
              <w:spacing w:line="276" w:lineRule="auto"/>
              <w:jc w:val="center"/>
              <w:rPr>
                <w:sz w:val="28"/>
              </w:rPr>
            </w:pPr>
            <w:r w:rsidRPr="005C5E90">
              <w:rPr>
                <w:rStyle w:val="a6"/>
                <w:sz w:val="28"/>
              </w:rPr>
              <w:t>На 01.01.201</w:t>
            </w:r>
            <w:r w:rsidR="00A4466C">
              <w:rPr>
                <w:rStyle w:val="a6"/>
                <w:sz w:val="28"/>
              </w:rPr>
              <w:t>7</w:t>
            </w:r>
            <w:r w:rsidRPr="005C5E90">
              <w:rPr>
                <w:rStyle w:val="a6"/>
                <w:sz w:val="28"/>
              </w:rPr>
              <w:t xml:space="preserve"> г.</w:t>
            </w:r>
          </w:p>
        </w:tc>
      </w:tr>
      <w:tr w:rsidR="00EE35C0" w:rsidRPr="005C5E90" w:rsidTr="001027A3">
        <w:tc>
          <w:tcPr>
            <w:tcW w:w="4644" w:type="dxa"/>
            <w:shd w:val="clear" w:color="auto" w:fill="auto"/>
          </w:tcPr>
          <w:p w:rsidR="00EE35C0" w:rsidRPr="002C48F8" w:rsidRDefault="00EE35C0" w:rsidP="002849EF">
            <w:pPr>
              <w:pStyle w:val="a5"/>
              <w:spacing w:before="0" w:beforeAutospacing="0" w:after="0" w:afterAutospacing="0" w:line="276" w:lineRule="auto"/>
              <w:ind w:left="360"/>
              <w:rPr>
                <w:rFonts w:ascii="Bookman Old Style" w:hAnsi="Bookman Old Style"/>
                <w:sz w:val="28"/>
                <w:szCs w:val="28"/>
              </w:rPr>
            </w:pPr>
            <w:r w:rsidRPr="002C48F8">
              <w:rPr>
                <w:rFonts w:ascii="Bookman Old Style" w:hAnsi="Bookman Old Style"/>
                <w:sz w:val="28"/>
                <w:szCs w:val="28"/>
              </w:rPr>
              <w:t>2016 г. рождения</w:t>
            </w:r>
          </w:p>
        </w:tc>
        <w:tc>
          <w:tcPr>
            <w:tcW w:w="4820" w:type="dxa"/>
            <w:shd w:val="clear" w:color="auto" w:fill="auto"/>
          </w:tcPr>
          <w:p w:rsidR="00EE35C0" w:rsidRPr="002C48F8" w:rsidRDefault="00EE35C0" w:rsidP="002849E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48F8">
              <w:rPr>
                <w:rFonts w:ascii="Bookman Old Style" w:hAnsi="Bookman Old Style"/>
                <w:sz w:val="28"/>
                <w:szCs w:val="28"/>
              </w:rPr>
              <w:t>608 детей</w:t>
            </w:r>
          </w:p>
        </w:tc>
      </w:tr>
      <w:tr w:rsidR="00EE35C0" w:rsidRPr="005C5E90" w:rsidTr="001027A3">
        <w:trPr>
          <w:trHeight w:val="338"/>
        </w:trPr>
        <w:tc>
          <w:tcPr>
            <w:tcW w:w="4644" w:type="dxa"/>
            <w:shd w:val="clear" w:color="auto" w:fill="auto"/>
          </w:tcPr>
          <w:p w:rsidR="00EE35C0" w:rsidRPr="002C48F8" w:rsidRDefault="00EE35C0" w:rsidP="002849EF">
            <w:pPr>
              <w:pStyle w:val="a5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2C48F8">
              <w:rPr>
                <w:rFonts w:ascii="Bookman Old Style" w:hAnsi="Bookman Old Style"/>
                <w:sz w:val="28"/>
                <w:szCs w:val="28"/>
              </w:rPr>
              <w:t xml:space="preserve">    2015 г. рождения</w:t>
            </w:r>
          </w:p>
        </w:tc>
        <w:tc>
          <w:tcPr>
            <w:tcW w:w="4820" w:type="dxa"/>
            <w:shd w:val="clear" w:color="auto" w:fill="auto"/>
          </w:tcPr>
          <w:p w:rsidR="00EE35C0" w:rsidRPr="002C48F8" w:rsidRDefault="00EE35C0" w:rsidP="002849E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48F8">
              <w:rPr>
                <w:rFonts w:ascii="Bookman Old Style" w:hAnsi="Bookman Old Style"/>
                <w:sz w:val="28"/>
                <w:szCs w:val="28"/>
              </w:rPr>
              <w:t>915 детей</w:t>
            </w:r>
          </w:p>
        </w:tc>
      </w:tr>
      <w:tr w:rsidR="00EE35C0" w:rsidRPr="005C5E90" w:rsidTr="001027A3">
        <w:tc>
          <w:tcPr>
            <w:tcW w:w="4644" w:type="dxa"/>
            <w:shd w:val="clear" w:color="auto" w:fill="auto"/>
          </w:tcPr>
          <w:p w:rsidR="00EE35C0" w:rsidRPr="002C48F8" w:rsidRDefault="00EE35C0" w:rsidP="002849EF">
            <w:pPr>
              <w:pStyle w:val="a5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2C48F8">
              <w:rPr>
                <w:rFonts w:ascii="Bookman Old Style" w:hAnsi="Bookman Old Style"/>
                <w:sz w:val="28"/>
                <w:szCs w:val="28"/>
              </w:rPr>
              <w:t xml:space="preserve">    2014 г. рождения</w:t>
            </w:r>
          </w:p>
        </w:tc>
        <w:tc>
          <w:tcPr>
            <w:tcW w:w="4820" w:type="dxa"/>
            <w:shd w:val="clear" w:color="auto" w:fill="auto"/>
          </w:tcPr>
          <w:p w:rsidR="00EE35C0" w:rsidRPr="002C48F8" w:rsidRDefault="00EE35C0" w:rsidP="002849E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48F8">
              <w:rPr>
                <w:rFonts w:ascii="Bookman Old Style" w:hAnsi="Bookman Old Style"/>
                <w:sz w:val="28"/>
                <w:szCs w:val="28"/>
              </w:rPr>
              <w:t>700 детей</w:t>
            </w:r>
          </w:p>
        </w:tc>
      </w:tr>
    </w:tbl>
    <w:p w:rsidR="00DC7EE7" w:rsidRPr="00D64E25" w:rsidRDefault="00DC7EE7" w:rsidP="00DC7EE7">
      <w:pPr>
        <w:spacing w:after="0"/>
        <w:ind w:firstLine="426"/>
        <w:jc w:val="both"/>
        <w:rPr>
          <w:rFonts w:ascii="Bookman Old Style" w:eastAsia="Times New Roman" w:hAnsi="Bookman Old Style" w:cs="Times New Roman"/>
          <w:sz w:val="12"/>
          <w:szCs w:val="12"/>
          <w:highlight w:val="yellow"/>
          <w:lang w:eastAsia="ru-RU"/>
        </w:rPr>
      </w:pPr>
    </w:p>
    <w:p w:rsidR="00A4466C" w:rsidRPr="00491FC1" w:rsidRDefault="00A4466C" w:rsidP="005E332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lastRenderedPageBreak/>
        <w:t xml:space="preserve">Актуальная очередность в ДОУ в возрасте от 1-6 лет 89 человек. Для сокращения очередности в 2016 году в ДОУ № 20 </w:t>
      </w:r>
      <w:r w:rsidR="00150902" w:rsidRPr="00491FC1">
        <w:rPr>
          <w:rFonts w:ascii="Bookman Old Style" w:hAnsi="Bookman Old Style"/>
          <w:sz w:val="28"/>
          <w:szCs w:val="28"/>
        </w:rPr>
        <w:t>«</w:t>
      </w:r>
      <w:proofErr w:type="spellStart"/>
      <w:r w:rsidR="00150902" w:rsidRPr="00491FC1">
        <w:rPr>
          <w:rFonts w:ascii="Bookman Old Style" w:hAnsi="Bookman Old Style"/>
          <w:sz w:val="28"/>
          <w:szCs w:val="28"/>
        </w:rPr>
        <w:t>К</w:t>
      </w:r>
      <w:r w:rsidRPr="00491FC1">
        <w:rPr>
          <w:rFonts w:ascii="Bookman Old Style" w:hAnsi="Bookman Old Style"/>
          <w:sz w:val="28"/>
          <w:szCs w:val="28"/>
        </w:rPr>
        <w:t>апитошка</w:t>
      </w:r>
      <w:proofErr w:type="spellEnd"/>
      <w:r w:rsidR="00150902" w:rsidRPr="00491FC1">
        <w:rPr>
          <w:rFonts w:ascii="Bookman Old Style" w:hAnsi="Bookman Old Style"/>
          <w:sz w:val="28"/>
          <w:szCs w:val="28"/>
        </w:rPr>
        <w:t>»</w:t>
      </w:r>
      <w:r w:rsidRPr="00491FC1">
        <w:rPr>
          <w:rFonts w:ascii="Bookman Old Style" w:hAnsi="Bookman Old Style"/>
          <w:sz w:val="28"/>
          <w:szCs w:val="28"/>
        </w:rPr>
        <w:t xml:space="preserve"> открыты 2 ясельные группы. </w:t>
      </w:r>
    </w:p>
    <w:p w:rsidR="005E3329" w:rsidRPr="00491FC1" w:rsidRDefault="005C5E90" w:rsidP="005E332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>По состоянию на 01.01.201</w:t>
      </w:r>
      <w:r w:rsidR="00A4466C" w:rsidRPr="00491FC1">
        <w:rPr>
          <w:rFonts w:ascii="Bookman Old Style" w:hAnsi="Bookman Old Style"/>
          <w:sz w:val="28"/>
          <w:szCs w:val="28"/>
        </w:rPr>
        <w:t>7</w:t>
      </w:r>
      <w:r w:rsidRPr="00491FC1">
        <w:rPr>
          <w:rFonts w:ascii="Bookman Old Style" w:hAnsi="Bookman Old Style"/>
          <w:sz w:val="28"/>
          <w:szCs w:val="28"/>
        </w:rPr>
        <w:t xml:space="preserve"> год очередность в дошкольные учреждения от 3-7 лет </w:t>
      </w:r>
      <w:r w:rsidR="00491FC1" w:rsidRPr="00491FC1">
        <w:rPr>
          <w:rFonts w:ascii="Bookman Old Style" w:hAnsi="Bookman Old Style"/>
          <w:sz w:val="28"/>
          <w:szCs w:val="28"/>
        </w:rPr>
        <w:t>отсутствует</w:t>
      </w:r>
      <w:r w:rsidR="00A4466C" w:rsidRPr="00491FC1">
        <w:rPr>
          <w:rFonts w:ascii="Bookman Old Style" w:hAnsi="Bookman Old Style"/>
          <w:sz w:val="28"/>
          <w:szCs w:val="28"/>
        </w:rPr>
        <w:t>.</w:t>
      </w:r>
      <w:r w:rsidRPr="00491FC1">
        <w:rPr>
          <w:rFonts w:ascii="Bookman Old Style" w:hAnsi="Bookman Old Style"/>
          <w:sz w:val="28"/>
          <w:szCs w:val="28"/>
        </w:rPr>
        <w:t xml:space="preserve"> </w:t>
      </w:r>
    </w:p>
    <w:p w:rsidR="00591B0C" w:rsidRPr="00491FC1" w:rsidRDefault="00591B0C" w:rsidP="005E332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>На основании Постановления администрации города Минусинска № АГ – 2027-п от 27.10.2015 года в форме выделения из состава МДОБУ «Детский сад № 20 «</w:t>
      </w:r>
      <w:proofErr w:type="spellStart"/>
      <w:r w:rsidRPr="00491FC1">
        <w:rPr>
          <w:rFonts w:ascii="Bookman Old Style" w:hAnsi="Bookman Old Style"/>
          <w:sz w:val="28"/>
          <w:szCs w:val="28"/>
        </w:rPr>
        <w:t>Капитошка</w:t>
      </w:r>
      <w:proofErr w:type="spellEnd"/>
      <w:r w:rsidRPr="00491FC1">
        <w:rPr>
          <w:rFonts w:ascii="Bookman Old Style" w:hAnsi="Bookman Old Style"/>
          <w:sz w:val="28"/>
          <w:szCs w:val="28"/>
        </w:rPr>
        <w:t>» структурного подразделения «Звездочка», создано МДОБУ «Детский сад № 21 «Звездочка</w:t>
      </w:r>
      <w:r w:rsidR="00F95B18" w:rsidRPr="00491FC1">
        <w:rPr>
          <w:rFonts w:ascii="Bookman Old Style" w:hAnsi="Bookman Old Style"/>
          <w:sz w:val="28"/>
          <w:szCs w:val="28"/>
        </w:rPr>
        <w:t xml:space="preserve">» комбинированного вида, </w:t>
      </w:r>
      <w:r w:rsidR="00491FC1">
        <w:rPr>
          <w:rFonts w:ascii="Bookman Old Style" w:hAnsi="Bookman Old Style"/>
          <w:sz w:val="28"/>
          <w:szCs w:val="28"/>
        </w:rPr>
        <w:t xml:space="preserve">вследствие чего увеличилась </w:t>
      </w:r>
      <w:r w:rsidR="00F95B18" w:rsidRPr="00491FC1">
        <w:rPr>
          <w:rFonts w:ascii="Bookman Old Style" w:hAnsi="Bookman Old Style"/>
          <w:sz w:val="28"/>
          <w:szCs w:val="28"/>
        </w:rPr>
        <w:t>численность дошкольных учреждений на 1 единицу п</w:t>
      </w:r>
      <w:r w:rsidR="00491FC1" w:rsidRPr="00491FC1">
        <w:rPr>
          <w:rFonts w:ascii="Bookman Old Style" w:hAnsi="Bookman Old Style"/>
          <w:sz w:val="28"/>
          <w:szCs w:val="28"/>
        </w:rPr>
        <w:t>о</w:t>
      </w:r>
      <w:r w:rsidR="00F95B18" w:rsidRPr="00491FC1">
        <w:rPr>
          <w:rFonts w:ascii="Bookman Old Style" w:hAnsi="Bookman Old Style"/>
          <w:sz w:val="28"/>
          <w:szCs w:val="28"/>
        </w:rPr>
        <w:t xml:space="preserve"> сравнению с </w:t>
      </w:r>
      <w:r w:rsidR="00491FC1">
        <w:rPr>
          <w:rFonts w:ascii="Bookman Old Style" w:hAnsi="Bookman Old Style"/>
          <w:sz w:val="28"/>
          <w:szCs w:val="28"/>
        </w:rPr>
        <w:t>2015 годом</w:t>
      </w:r>
      <w:r w:rsidR="00F95B18" w:rsidRPr="00491FC1">
        <w:rPr>
          <w:rFonts w:ascii="Bookman Old Style" w:hAnsi="Bookman Old Style"/>
          <w:sz w:val="28"/>
          <w:szCs w:val="28"/>
        </w:rPr>
        <w:t>.</w:t>
      </w:r>
    </w:p>
    <w:p w:rsidR="00F95B18" w:rsidRPr="00491FC1" w:rsidRDefault="00F95B18" w:rsidP="00F95B18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>На основании Постановления администрации города Минусинска от 11.07.2016 № АГ – 1112-п «О закрытии дошкольных групп для 6 – летних детей в муниципальном автономном общеобразовательном учреждении «Гимназия №1», закрыты группы для 6 – летних детей, на 40 мест.</w:t>
      </w:r>
    </w:p>
    <w:p w:rsidR="00F95B18" w:rsidRPr="00491FC1" w:rsidRDefault="00F95B18" w:rsidP="00F95B18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>На основании Постановления администрации города Минусинска от 10.09.2015 № АГ–1703-п «Об открытии дошкольных групп в муниципальном образовательном бюджетном  учреждении «Лицей№7» открыты группы для 6 – летних детей, на 45 мест.</w:t>
      </w:r>
    </w:p>
    <w:p w:rsidR="00EE35C0" w:rsidRPr="00EE35C0" w:rsidRDefault="00DC7EE7" w:rsidP="00EE35C0">
      <w:pPr>
        <w:pStyle w:val="a3"/>
        <w:numPr>
          <w:ilvl w:val="0"/>
          <w:numId w:val="2"/>
        </w:numPr>
        <w:spacing w:after="0"/>
        <w:ind w:left="1134" w:hanging="283"/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DC7EE7" w:rsidRDefault="00DC7EE7" w:rsidP="00E00257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Данный показатель рассчитывается по зданиям, находящимся в аварийном состоянии или требующих капитального ремонта, где пребывание детей недопустимо, так как является прямой угрозой здоровью и жизни детей. Таких зданий дошкольных учреждений нет, в соответствии с этим данный показатель равен 0.</w:t>
      </w:r>
    </w:p>
    <w:p w:rsidR="006C1A41" w:rsidRDefault="00DC7EE7" w:rsidP="00491FC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Общее и дополнительное образование</w:t>
      </w:r>
    </w:p>
    <w:p w:rsidR="0095750C" w:rsidRPr="0095750C" w:rsidRDefault="0095750C" w:rsidP="005C5E90">
      <w:pPr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7415CD">
        <w:rPr>
          <w:rFonts w:ascii="Bookman Old Style" w:hAnsi="Bookman Old Style"/>
          <w:sz w:val="28"/>
          <w:szCs w:val="28"/>
        </w:rPr>
        <w:t>В города Минусинске общее и дополнительное образование представлено 13 общеобразовательными учреждениями, 6 учреждениями дополнительного образования детей</w:t>
      </w:r>
      <w:r w:rsidR="0002663F" w:rsidRPr="007415CD">
        <w:rPr>
          <w:rFonts w:ascii="Bookman Old Style" w:hAnsi="Bookman Old Style"/>
          <w:sz w:val="28"/>
          <w:szCs w:val="28"/>
        </w:rPr>
        <w:t xml:space="preserve"> (Дом детского творчества, Музыкальная школа, Художественная школа, Центр детско-юношеского туризма, ДЮСШ им. В.П. </w:t>
      </w:r>
      <w:proofErr w:type="spellStart"/>
      <w:r w:rsidR="0002663F" w:rsidRPr="007415CD">
        <w:rPr>
          <w:rFonts w:ascii="Bookman Old Style" w:hAnsi="Bookman Old Style"/>
          <w:sz w:val="28"/>
          <w:szCs w:val="28"/>
        </w:rPr>
        <w:t>Щедрухина</w:t>
      </w:r>
      <w:proofErr w:type="spellEnd"/>
      <w:r w:rsidR="0002663F" w:rsidRPr="007415CD">
        <w:rPr>
          <w:rFonts w:ascii="Bookman Old Style" w:hAnsi="Bookman Old Style"/>
          <w:sz w:val="28"/>
          <w:szCs w:val="28"/>
        </w:rPr>
        <w:t>, ДЮСШ управления образования</w:t>
      </w:r>
      <w:r w:rsidRPr="007415CD">
        <w:rPr>
          <w:rFonts w:ascii="Bookman Old Style" w:hAnsi="Bookman Old Style"/>
          <w:sz w:val="28"/>
          <w:szCs w:val="28"/>
        </w:rPr>
        <w:t>.</w:t>
      </w:r>
      <w:proofErr w:type="gramEnd"/>
    </w:p>
    <w:p w:rsidR="00DC7EE7" w:rsidRPr="007415CD" w:rsidRDefault="00DC7EE7" w:rsidP="007415CD">
      <w:pPr>
        <w:pStyle w:val="a3"/>
        <w:numPr>
          <w:ilvl w:val="0"/>
          <w:numId w:val="27"/>
        </w:num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7415CD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1F2165" w:rsidRDefault="001F2165" w:rsidP="001F2165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</w:t>
      </w:r>
      <w:r w:rsidRPr="001F2165">
        <w:rPr>
          <w:rFonts w:ascii="Bookman Old Style" w:hAnsi="Bookman Old Style"/>
          <w:sz w:val="28"/>
          <w:szCs w:val="28"/>
        </w:rPr>
        <w:t xml:space="preserve">меньшение доли выпускников, не получивших аттестат о среднем (полном) образовании </w:t>
      </w:r>
      <w:proofErr w:type="gramStart"/>
      <w:r w:rsidRPr="001F2165">
        <w:rPr>
          <w:rFonts w:ascii="Bookman Old Style" w:hAnsi="Bookman Old Style"/>
          <w:sz w:val="28"/>
          <w:szCs w:val="28"/>
        </w:rPr>
        <w:t>обусловлена</w:t>
      </w:r>
      <w:proofErr w:type="gramEnd"/>
      <w:r w:rsidRPr="001F2165">
        <w:rPr>
          <w:rFonts w:ascii="Bookman Old Style" w:hAnsi="Bookman Old Style"/>
          <w:sz w:val="28"/>
          <w:szCs w:val="28"/>
        </w:rPr>
        <w:t xml:space="preserve">: </w:t>
      </w:r>
    </w:p>
    <w:p w:rsidR="001F2165" w:rsidRDefault="001F2165" w:rsidP="001F2165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1F2165">
        <w:rPr>
          <w:rFonts w:ascii="Bookman Old Style" w:hAnsi="Bookman Old Style"/>
          <w:sz w:val="28"/>
          <w:szCs w:val="28"/>
        </w:rPr>
        <w:t>проведением индивидуальной работы со слабоуспевающими учащимися;</w:t>
      </w:r>
    </w:p>
    <w:p w:rsidR="001F2165" w:rsidRPr="001F2165" w:rsidRDefault="001F2165" w:rsidP="001F2165">
      <w:pPr>
        <w:spacing w:after="0"/>
        <w:ind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1F2165">
        <w:rPr>
          <w:rFonts w:ascii="Bookman Old Style" w:hAnsi="Bookman Old Style"/>
          <w:sz w:val="28"/>
          <w:szCs w:val="28"/>
        </w:rPr>
        <w:t>проведением диагностических работ по математике и русскому языку в 11-х классах;</w:t>
      </w:r>
    </w:p>
    <w:p w:rsidR="001F2165" w:rsidRPr="001F2165" w:rsidRDefault="001F2165" w:rsidP="001F216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1F2165">
        <w:rPr>
          <w:rFonts w:ascii="Bookman Old Style" w:hAnsi="Bookman Old Style"/>
          <w:sz w:val="28"/>
          <w:szCs w:val="28"/>
        </w:rPr>
        <w:lastRenderedPageBreak/>
        <w:t>- работой  с выпускниками 9-х классов по поступлению в учреждения НПО, СПО с целью получения дальнейшего образования и профессии.</w:t>
      </w:r>
    </w:p>
    <w:p w:rsidR="00DC7EE7" w:rsidRPr="004D4EE1" w:rsidRDefault="00DC7EE7" w:rsidP="007415CD">
      <w:pPr>
        <w:pStyle w:val="a3"/>
        <w:numPr>
          <w:ilvl w:val="0"/>
          <w:numId w:val="27"/>
        </w:numPr>
        <w:spacing w:before="240" w:after="0"/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A53760" w:rsidRPr="00A53760" w:rsidRDefault="00A53760" w:rsidP="00A53760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A53760">
        <w:rPr>
          <w:rFonts w:ascii="Bookman Old Style" w:hAnsi="Bookman Old Style"/>
          <w:sz w:val="28"/>
          <w:szCs w:val="28"/>
        </w:rPr>
        <w:t>Увеличение показателя в 2016 году произошло за счет сдачи в эксплуатацию после капитального</w:t>
      </w:r>
      <w:r>
        <w:rPr>
          <w:rFonts w:ascii="Bookman Old Style" w:hAnsi="Bookman Old Style"/>
          <w:sz w:val="28"/>
          <w:szCs w:val="28"/>
        </w:rPr>
        <w:t xml:space="preserve"> ремонта зданий ООШ №1 и СОШ №3 и</w:t>
      </w:r>
      <w:r w:rsidRPr="00A53760">
        <w:rPr>
          <w:rFonts w:ascii="Bookman Old Style" w:hAnsi="Bookman Old Style"/>
          <w:sz w:val="28"/>
          <w:szCs w:val="28"/>
        </w:rPr>
        <w:t xml:space="preserve"> приобретения учебного оборудования согласно ФГОС НОО и ФГОС ООО</w:t>
      </w:r>
      <w:r>
        <w:rPr>
          <w:rFonts w:ascii="Bookman Old Style" w:hAnsi="Bookman Old Style"/>
          <w:sz w:val="28"/>
          <w:szCs w:val="28"/>
        </w:rPr>
        <w:t xml:space="preserve"> за</w:t>
      </w:r>
      <w:r w:rsidRPr="00A53760">
        <w:rPr>
          <w:rFonts w:ascii="Bookman Old Style" w:hAnsi="Bookman Old Style"/>
          <w:sz w:val="28"/>
          <w:szCs w:val="28"/>
        </w:rPr>
        <w:t xml:space="preserve"> средств государственной целевой программы «Доступная среда» в МОБУ «СОШ № 4» и</w:t>
      </w:r>
      <w:proofErr w:type="gramStart"/>
      <w:r w:rsidRPr="00A53760">
        <w:rPr>
          <w:rFonts w:ascii="Bookman Old Style" w:hAnsi="Bookman Old Style"/>
          <w:sz w:val="28"/>
          <w:szCs w:val="28"/>
        </w:rPr>
        <w:t xml:space="preserve">  О</w:t>
      </w:r>
      <w:proofErr w:type="gramEnd"/>
      <w:r w:rsidRPr="00A53760">
        <w:rPr>
          <w:rFonts w:ascii="Bookman Old Style" w:hAnsi="Bookman Old Style"/>
          <w:sz w:val="28"/>
          <w:szCs w:val="28"/>
        </w:rPr>
        <w:t xml:space="preserve"> (с) ОШ №14».</w:t>
      </w:r>
    </w:p>
    <w:p w:rsidR="00DC7EE7" w:rsidRPr="004D4EE1" w:rsidRDefault="00DC7EE7" w:rsidP="007415CD">
      <w:pPr>
        <w:pStyle w:val="a3"/>
        <w:numPr>
          <w:ilvl w:val="0"/>
          <w:numId w:val="27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515F46" w:rsidRDefault="003162E5" w:rsidP="00515F46">
      <w:pPr>
        <w:ind w:firstLine="851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>Снижение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показателя в 201</w:t>
      </w: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>6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</w:t>
      </w: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>по сравнению с 2015 году</w:t>
      </w:r>
      <w:r w:rsidR="008D1053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обусловлено тем, что все образовательные учреждения 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не представляют угрозу здоровью и жизни детей.</w:t>
      </w: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Аварийные школы 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№ 1 и № 3</w:t>
      </w: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отремонтированы и укомплектованы детьми.</w:t>
      </w:r>
    </w:p>
    <w:p w:rsidR="00DC7EE7" w:rsidRPr="00213A26" w:rsidRDefault="00DC7EE7" w:rsidP="007415CD">
      <w:pPr>
        <w:pStyle w:val="a3"/>
        <w:numPr>
          <w:ilvl w:val="0"/>
          <w:numId w:val="27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213A26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213A26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213A26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83587A" w:rsidRPr="0083587A" w:rsidRDefault="0083587A" w:rsidP="0083587A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3587A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Снижение показателя в 2016 году связано, в связи с увеличением в образовательных учреждениях численности детей-инвалидов и детей ОВЗ. </w:t>
      </w:r>
    </w:p>
    <w:p w:rsidR="00DC7EE7" w:rsidRPr="004D4EE1" w:rsidRDefault="00DC7EE7" w:rsidP="007415CD">
      <w:pPr>
        <w:pStyle w:val="a3"/>
        <w:numPr>
          <w:ilvl w:val="0"/>
          <w:numId w:val="27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83587A" w:rsidRPr="0083587A" w:rsidRDefault="0083587A" w:rsidP="0083587A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3587A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Увеличение показателя в 2016 году происходит по причине изменений демографической ситуации.  Анализ показывает рост </w:t>
      </w:r>
      <w:r w:rsidRPr="0083587A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>рождаемости: численность городского населения от 1 до 6 лет  составляет в 2012 году 5282 ребенка, в 2013 году – 5347 детей, в 2014 году – 5478 детей. Количество классов-комплектов в школах увеличивается, занимаемые площади остаются в прежнем объеме.</w:t>
      </w:r>
    </w:p>
    <w:p w:rsidR="00DC7EE7" w:rsidRDefault="00DC7EE7" w:rsidP="007415CD">
      <w:pPr>
        <w:pStyle w:val="a3"/>
        <w:numPr>
          <w:ilvl w:val="0"/>
          <w:numId w:val="27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5B48B5" w:rsidRPr="00491FC1" w:rsidRDefault="00874400" w:rsidP="005B48B5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0929C0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6</w:t>
      </w: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составили </w:t>
      </w:r>
      <w:r w:rsidR="000929C0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12,43</w:t>
      </w: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 тыс. рублей (</w:t>
      </w:r>
      <w:r w:rsidR="000929C0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снизился</w:t>
      </w: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по сравнению с 201</w:t>
      </w:r>
      <w:r w:rsidR="000929C0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годом </w:t>
      </w:r>
      <w:r w:rsidR="00491FC1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на</w:t>
      </w:r>
      <w:r w:rsidR="00E00257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</w:t>
      </w:r>
      <w:r w:rsidR="000929C0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43,19</w:t>
      </w: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тыс. рублей). </w:t>
      </w:r>
    </w:p>
    <w:p w:rsidR="005B48B5" w:rsidRDefault="000929C0" w:rsidP="005B48B5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Снижение данного показателя</w:t>
      </w:r>
      <w:r w:rsidR="005B48B5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в 201</w:t>
      </w:r>
      <w:r w:rsidR="007006AB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6</w:t>
      </w:r>
      <w:r w:rsidR="005B48B5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</w:t>
      </w:r>
      <w:r w:rsidR="00491FC1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обусловлено</w:t>
      </w:r>
      <w:r w:rsidR="007006AB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тем, что </w:t>
      </w:r>
      <w:r w:rsidR="00491FC1" w:rsidRPr="00491FC1">
        <w:rPr>
          <w:rFonts w:ascii="Bookman Old Style" w:hAnsi="Bookman Old Style" w:cs="Times New Roman CYR"/>
          <w:bCs/>
          <w:color w:val="000000"/>
          <w:sz w:val="28"/>
          <w:szCs w:val="28"/>
        </w:rPr>
        <w:t>в расчет данного показателя с 2016 года включаются средства только местного бюджета.</w:t>
      </w:r>
    </w:p>
    <w:p w:rsidR="00491FC1" w:rsidRDefault="00491FC1" w:rsidP="005B48B5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</w:p>
    <w:p w:rsidR="00491FC1" w:rsidRPr="005B48B5" w:rsidRDefault="00491FC1" w:rsidP="005B48B5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</w:p>
    <w:p w:rsidR="00DC7EE7" w:rsidRPr="002F5D54" w:rsidRDefault="00DC7EE7" w:rsidP="007415CD">
      <w:pPr>
        <w:pStyle w:val="a3"/>
        <w:numPr>
          <w:ilvl w:val="0"/>
          <w:numId w:val="27"/>
        </w:numPr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2F5D54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2F5D54" w:rsidRPr="002F5D54" w:rsidRDefault="002F5D54" w:rsidP="002F5D54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2F5D54">
        <w:rPr>
          <w:rFonts w:ascii="Bookman Old Style" w:hAnsi="Bookman Old Style" w:cs="Times New Roman CYR"/>
          <w:bCs/>
          <w:color w:val="000000"/>
          <w:sz w:val="28"/>
          <w:szCs w:val="28"/>
        </w:rPr>
        <w:t>Рост показателя связан с расширением услуг в области дополнительного образования - интеграция основного и дополнительного образования для реализации внеурочной деятельности в связи с внедрением ФГОС ООО с 01.09. 2015 года.</w:t>
      </w:r>
    </w:p>
    <w:p w:rsidR="00874400" w:rsidRDefault="00E00257" w:rsidP="00EB312D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 2016 года данный показатель планируется 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сохранить на уровне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90</w:t>
      </w:r>
      <w:r w:rsidR="00874400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%, за счет изучени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я</w:t>
      </w:r>
      <w:r w:rsidR="00874400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запросов родителей и детей в необходимости предоставления программ дополнительного образования детей.</w:t>
      </w:r>
    </w:p>
    <w:p w:rsidR="00DC7EE7" w:rsidRPr="00540702" w:rsidRDefault="00DC7EE7" w:rsidP="006C5F8A">
      <w:pPr>
        <w:pStyle w:val="a3"/>
        <w:numPr>
          <w:ilvl w:val="0"/>
          <w:numId w:val="1"/>
        </w:numPr>
        <w:spacing w:after="0"/>
        <w:ind w:firstLine="65"/>
        <w:jc w:val="both"/>
        <w:rPr>
          <w:rFonts w:ascii="Bookman Old Style" w:hAnsi="Bookman Old Style"/>
          <w:b/>
          <w:sz w:val="28"/>
          <w:szCs w:val="28"/>
        </w:rPr>
      </w:pPr>
      <w:r w:rsidRPr="00540702">
        <w:rPr>
          <w:rFonts w:ascii="Bookman Old Style" w:hAnsi="Bookman Old Style"/>
          <w:b/>
          <w:sz w:val="28"/>
          <w:szCs w:val="28"/>
        </w:rPr>
        <w:t>Культура</w:t>
      </w:r>
    </w:p>
    <w:p w:rsidR="002C548D" w:rsidRDefault="002C548D" w:rsidP="006C5F8A">
      <w:pPr>
        <w:tabs>
          <w:tab w:val="left" w:pos="0"/>
        </w:tabs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>В городе Минусинске в 201</w:t>
      </w:r>
      <w:r w:rsid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осуществляли деятельность </w:t>
      </w:r>
      <w:r w:rsidR="00540702"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>7</w:t>
      </w: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 учреждений культуры. Такие как, Дом культуры, Центральная библиотечная система, Музей им. Н.М. Мартьянова, Дом культуры поселка Зеленый Бор, Городская </w:t>
      </w: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>картинная галерея</w:t>
      </w:r>
      <w:r w:rsidR="00540702">
        <w:rPr>
          <w:rFonts w:ascii="Bookman Old Style" w:hAnsi="Bookman Old Style" w:cs="Times New Roman CYR"/>
          <w:bCs/>
          <w:color w:val="000000"/>
          <w:sz w:val="28"/>
          <w:szCs w:val="28"/>
        </w:rPr>
        <w:t>, Детская музыкальная школа и Детская художественная школа.</w:t>
      </w:r>
    </w:p>
    <w:p w:rsidR="00DC7EE7" w:rsidRPr="00F00D5E" w:rsidRDefault="00DC7EE7" w:rsidP="007415CD">
      <w:pPr>
        <w:pStyle w:val="a3"/>
        <w:numPr>
          <w:ilvl w:val="0"/>
          <w:numId w:val="27"/>
        </w:num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F00D5E">
        <w:rPr>
          <w:rFonts w:ascii="Bookman Old Style" w:hAnsi="Bookman Old Style"/>
          <w:b/>
          <w:sz w:val="28"/>
          <w:szCs w:val="28"/>
        </w:rPr>
        <w:t>Уровень фактической обеспеченности учреждениями культуры в городском округе (муниципальном районе) от нормативной потребности</w:t>
      </w:r>
    </w:p>
    <w:p w:rsidR="000E6C8F" w:rsidRPr="000E6C8F" w:rsidRDefault="000E6C8F" w:rsidP="000E6C8F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0E6C8F"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proofErr w:type="gramStart"/>
      <w:r w:rsidRPr="000E6C8F">
        <w:rPr>
          <w:rFonts w:ascii="Bookman Old Style" w:hAnsi="Bookman Old Style" w:cs="Times New Roman CYR"/>
          <w:bCs/>
          <w:color w:val="000000"/>
          <w:sz w:val="28"/>
          <w:szCs w:val="28"/>
        </w:rPr>
        <w:t>Основным показателем, характеризующим уровень качества  жизни населения является</w:t>
      </w:r>
      <w:proofErr w:type="gramEnd"/>
      <w:r w:rsidRPr="000E6C8F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обеспеченность жителей города учреждениями культуры. Обеспеченность жителей города  услугами учреждений культуры не в полной мере соответствует нормативам, рекомендованным распоряжением Правительства Российской Федерации от 03.07.1996 № 1063-р.</w:t>
      </w:r>
    </w:p>
    <w:p w:rsidR="000E6C8F" w:rsidRPr="000E6C8F" w:rsidRDefault="000E6C8F" w:rsidP="000E6C8F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0E6C8F"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proofErr w:type="gramStart"/>
      <w:r w:rsidRPr="000E6C8F">
        <w:rPr>
          <w:rFonts w:ascii="Bookman Old Style" w:hAnsi="Bookman Old Style" w:cs="Times New Roman CYR"/>
          <w:bCs/>
          <w:color w:val="000000"/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распоряжением Губернатора Красноярского края от 25.02.2013 № 58-рг «Об утверждении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  был утвержден план мероприятий («дорожной карты») «Изменения в отраслях социальной сферы, направленные на повышение эффективности сферы культуры</w:t>
      </w:r>
      <w:proofErr w:type="gramEnd"/>
      <w:r w:rsidRPr="000E6C8F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в муниципальном образовании город Минусинск».  </w:t>
      </w:r>
    </w:p>
    <w:p w:rsidR="000E6C8F" w:rsidRPr="00847718" w:rsidRDefault="000E6C8F" w:rsidP="000E6C8F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В ходе реализации  Плана мероприятий были достигнуты следующие показатели:</w:t>
      </w:r>
    </w:p>
    <w:p w:rsidR="000E6C8F" w:rsidRPr="00847718" w:rsidRDefault="000E6C8F" w:rsidP="000E6C8F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- доля представленных (во всех формах) зрителю музейных предметов в общем количестве музейных предметов основного фонда составила 7,2% (107,5% от запланированной величины);</w:t>
      </w:r>
    </w:p>
    <w:p w:rsidR="000E6C8F" w:rsidRPr="00847718" w:rsidRDefault="000E6C8F" w:rsidP="000E6C8F">
      <w:pPr>
        <w:tabs>
          <w:tab w:val="left" w:pos="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- увеличение посещаемости музейных учреждений города Минусинска составило 3,13% при плане 2,35 % (выполнение показателя – 133,2 %);</w:t>
      </w:r>
    </w:p>
    <w:p w:rsidR="000E6C8F" w:rsidRPr="00847718" w:rsidRDefault="000E6C8F" w:rsidP="000E6C8F">
      <w:pPr>
        <w:tabs>
          <w:tab w:val="left" w:pos="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- увеличение численности участников культурно-досуговых мероприятий (по сравнению с предыдущим годом) составило  -12,27 %;</w:t>
      </w:r>
    </w:p>
    <w:p w:rsidR="000E6C8F" w:rsidRPr="00847718" w:rsidRDefault="000E6C8F" w:rsidP="000E6C8F">
      <w:pPr>
        <w:tabs>
          <w:tab w:val="left" w:pos="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 xml:space="preserve">- удельный вес населения, участвующего в платных культурно-досуговых </w:t>
      </w:r>
      <w:proofErr w:type="gramStart"/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мероприятиях, проводимых </w:t>
      </w: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>муниципальными учреждениями культуры города Минусинска составил</w:t>
      </w:r>
      <w:proofErr w:type="gramEnd"/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358,89% при плане 280,46%;</w:t>
      </w:r>
    </w:p>
    <w:p w:rsidR="000E6C8F" w:rsidRPr="00847718" w:rsidRDefault="000E6C8F" w:rsidP="000E6C8F">
      <w:pPr>
        <w:tabs>
          <w:tab w:val="left" w:pos="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- доля публичных библиотек, подключенных к сети Интернет, в общем количестве библиотек города Минусинска составила 100%;</w:t>
      </w:r>
    </w:p>
    <w:p w:rsidR="000E6C8F" w:rsidRPr="00847718" w:rsidRDefault="000E6C8F" w:rsidP="000E6C8F">
      <w:pPr>
        <w:tabs>
          <w:tab w:val="left" w:pos="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- доля музеев, имеющих сайт в сети Интернет, в общем количестве музеев города Минусинска составила 100%;</w:t>
      </w:r>
    </w:p>
    <w:p w:rsidR="000E6C8F" w:rsidRPr="00847718" w:rsidRDefault="000E6C8F" w:rsidP="000E6C8F">
      <w:pPr>
        <w:tabs>
          <w:tab w:val="left" w:pos="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  <w:t>- доля детей, привлекаемых к участию в творческих мероприятиях, в  общем числе детей составило 13,3 % при плане 12,19%.</w:t>
      </w:r>
    </w:p>
    <w:p w:rsidR="008D1053" w:rsidRDefault="000E6C8F" w:rsidP="008D1053">
      <w:pPr>
        <w:spacing w:after="0"/>
        <w:ind w:firstLine="708"/>
        <w:contextualSpacing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 в муниципальном образовании город Минусинск  клубами и учреждениями клубного типа – 13,57%, библиотеками- 142,8%, парками культуры и отдыха-100%.</w:t>
      </w:r>
    </w:p>
    <w:p w:rsidR="000E6C8F" w:rsidRDefault="000E6C8F" w:rsidP="008D1053">
      <w:pPr>
        <w:spacing w:after="0"/>
        <w:ind w:firstLine="708"/>
        <w:contextualSpacing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proofErr w:type="gramStart"/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>Согласно Распоряжения</w:t>
      </w:r>
      <w:proofErr w:type="gramEnd"/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Правительства РФ от 3 июля 1996 г. N 1063-р (с изменениями и дополнениями от: 14 июля 2001 г.,</w:t>
      </w:r>
      <w:r w:rsidR="008D1053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</w:t>
      </w: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>13 июля 2007 г., 23 июня 2014 г., 26 января 2017г.) изменились социальные нормативы и нормы обеспеченности библиотеками. По социальным нормативам обеспеченность муниципального образования город Минусинск составляет 7 библиотек, фактически библиотечное обслуживание населения города Минусинска осуществляет 10  общедоступных библиотек.</w:t>
      </w:r>
    </w:p>
    <w:p w:rsidR="000E6C8F" w:rsidRPr="00847718" w:rsidRDefault="000E6C8F" w:rsidP="000E6C8F">
      <w:pPr>
        <w:spacing w:after="0"/>
        <w:ind w:firstLine="708"/>
        <w:contextualSpacing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>В городе функционируют 2 учреждения культуры клубного типа с числом посадочных мест 290. В городе действуют 17 творческих коллективов, имеющих звание «народный и образцовый», в котором занимается свыше 3-х тысяч человек.  Город не имеет современного здания «Дворца культуры», приходится заниматься в арендуемых и неприспособленных помещениях.</w:t>
      </w:r>
    </w:p>
    <w:p w:rsidR="000E6C8F" w:rsidRPr="00847718" w:rsidRDefault="000E6C8F" w:rsidP="000E6C8F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847718">
        <w:rPr>
          <w:rFonts w:ascii="Bookman Old Style" w:hAnsi="Bookman Old Style" w:cs="Times New Roman CYR"/>
          <w:bCs/>
          <w:color w:val="000000"/>
          <w:sz w:val="28"/>
          <w:szCs w:val="28"/>
        </w:rPr>
        <w:t>Город Минусинск остро  нуждается  в строительстве Дворца культуры.</w:t>
      </w:r>
    </w:p>
    <w:p w:rsidR="00DC7EE7" w:rsidRDefault="00DC7EE7" w:rsidP="007415CD">
      <w:pPr>
        <w:pStyle w:val="a3"/>
        <w:numPr>
          <w:ilvl w:val="0"/>
          <w:numId w:val="27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977E6C" w:rsidRPr="00977E6C" w:rsidRDefault="00977E6C" w:rsidP="00977E6C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ab/>
      </w:r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 2014 года ежегодно  увеличивается показатель 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с 34,3% до 44,1%. </w:t>
      </w:r>
    </w:p>
    <w:p w:rsidR="00977E6C" w:rsidRPr="00977E6C" w:rsidRDefault="00977E6C" w:rsidP="00977E6C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На сегодняшний день требуют капитального ремонта 15 зданий в том числе: МБУК ДК п. Зеленый Бор -1 здание, МБУК МКМ – 13 зданий </w:t>
      </w:r>
      <w:proofErr w:type="gramStart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( </w:t>
      </w:r>
      <w:proofErr w:type="gramEnd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>ул. Октябрьская 73- 3 здания, ул. Обороны 59-а- 1 здание, ул. Ленина 60 - 9 зданий), МБУ ДО ДХШ- 1 здание.</w:t>
      </w:r>
    </w:p>
    <w:p w:rsidR="00977E6C" w:rsidRPr="00977E6C" w:rsidRDefault="00977E6C" w:rsidP="00977E6C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 2014 года проводятся  работы по реставрации  здания Минусинского регионального краеведческого музея в  рамках  Государственной программы Красноярского края «Развитие культуры»,  в 2017 году планируется завершение данных работ. </w:t>
      </w:r>
    </w:p>
    <w:p w:rsidR="00977E6C" w:rsidRPr="00977E6C" w:rsidRDefault="00977E6C" w:rsidP="00977E6C">
      <w:pPr>
        <w:autoSpaceDE w:val="0"/>
        <w:autoSpaceDN w:val="0"/>
        <w:adjustRightInd w:val="0"/>
        <w:ind w:firstLine="851"/>
        <w:jc w:val="both"/>
        <w:outlineLvl w:val="1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>На реставрацию здания и разработку научно-проектной документации памятника культурного наследия «Приспособление для современного использования объекта культурного наследия «Комплекс музея им. Мартьянова Н.М. Второй корпус, расположенный по адресу: г. Минусинск, ул. Ленина,60»  выделено из средств краевого бюджета  151 014,41 тыс. рублей, в том числе : 2014 год 6497,93 тыс</w:t>
      </w:r>
      <w:proofErr w:type="gramStart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>.р</w:t>
      </w:r>
      <w:proofErr w:type="gramEnd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уб.на 2015 год - 41440,00 тыс. рублей, 2016 год -  76076,48 тыс. рублей, 2017 год - 27000,00 тыс. руб.; </w:t>
      </w:r>
      <w:proofErr w:type="spellStart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>софинансирование</w:t>
      </w:r>
      <w:proofErr w:type="spellEnd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за счет местного бюджета всего 181,05 тыс. руб. в том числе:  2015-41,22 тыс</w:t>
      </w:r>
      <w:proofErr w:type="gramStart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>.р</w:t>
      </w:r>
      <w:proofErr w:type="gramEnd"/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>уб.; 2016- 112,8 тыс.руб.;  2017- 27,03 тыс.руб.</w:t>
      </w:r>
    </w:p>
    <w:p w:rsidR="00977E6C" w:rsidRPr="00977E6C" w:rsidRDefault="00977E6C" w:rsidP="00977E6C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977E6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Одной из острых проблем является выполнение капитального ремонта здания МОБУ ДОД ДХШ, который не проводился на протяжении 30 лет. Детская художественная школа расположена в старинном здании (год постройки 1912 год), являющимся объектом культурного наследия регионального значения. </w:t>
      </w:r>
    </w:p>
    <w:p w:rsidR="00DC7EE7" w:rsidRPr="004D4EE1" w:rsidRDefault="00DC7EE7" w:rsidP="007415CD">
      <w:pPr>
        <w:pStyle w:val="a3"/>
        <w:numPr>
          <w:ilvl w:val="0"/>
          <w:numId w:val="27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</w:t>
      </w:r>
      <w:r w:rsidRPr="002C548D">
        <w:rPr>
          <w:rFonts w:ascii="Bookman Old Style" w:hAnsi="Bookman Old Style"/>
          <w:b/>
          <w:sz w:val="28"/>
          <w:szCs w:val="28"/>
        </w:rPr>
        <w:t>объектов культурного наследия, находящихся в муниципальной</w:t>
      </w:r>
      <w:r w:rsidRPr="00DC7EE7">
        <w:rPr>
          <w:rFonts w:ascii="Bookman Old Style" w:hAnsi="Bookman Old Style"/>
          <w:b/>
          <w:sz w:val="28"/>
          <w:szCs w:val="28"/>
        </w:rPr>
        <w:t xml:space="preserve"> собственности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 2016 году составляет  52,94%, в связи с большим износом зданий культурного наследия. Фасады зданий требуют реставрационных работ.</w:t>
      </w:r>
    </w:p>
    <w:p w:rsidR="00F92D27" w:rsidRPr="00F92D27" w:rsidRDefault="00F92D27" w:rsidP="00F92D27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На территории города Минусинска расположен  81   объект культурного наследия, в том числе 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находящихся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в муниципальной собственности – 34.</w:t>
      </w:r>
    </w:p>
    <w:p w:rsidR="00F92D27" w:rsidRPr="00F92D27" w:rsidRDefault="00F92D27" w:rsidP="00F92D27">
      <w:pPr>
        <w:ind w:firstLine="851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Перечень объектов культурного наследия, требующих консервации или реставрации на конец отчетного периода.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1.  дом жилой с магазином, конец XIX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в.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,г</w:t>
      </w:r>
      <w:proofErr w:type="spellEnd"/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. Минусинск, ул. Гоголя 66;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2.  дом жилой с магазином, конец XIX в., г.Минусинск, ул. Гоголя 68;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3. административное задание, конец XIX в., г. Минусинск, ул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.К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омсомольская, 15;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4.  дом жилой, посл. четв.19 в., г.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Минусинк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, ул. Ленина ,71;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5.  здание казначейства сер.  XIX в., г. Минусинск, ул. Ленина 73;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6.  дом жилой, посл.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четв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. XIX в, г.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Мнусинск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, Ленина 77;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7. дом жилой с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магазином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,К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онец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XIX в .,ул. Октябрьская 71/ул. Штабная,18;</w:t>
      </w:r>
    </w:p>
    <w:p w:rsidR="00F92D27" w:rsidRPr="00F92D27" w:rsidRDefault="00F92D27" w:rsidP="00F92D27">
      <w:pPr>
        <w:snapToGrid w:val="0"/>
        <w:spacing w:after="0"/>
        <w:ind w:right="-33"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8.  жилой дом,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кон.XIX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в., г. Минусинск, ул. 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Штабная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,15;</w:t>
      </w:r>
    </w:p>
    <w:p w:rsidR="00F92D27" w:rsidRPr="00F92D27" w:rsidRDefault="00F92D27" w:rsidP="00F92D27">
      <w:pPr>
        <w:snapToGrid w:val="0"/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9. дом, в котором с 13 сентября 1919г по 30 января 1920 г находился  главный штаб партизанской армии Кравченко и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Щетинкина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.; г. Минусинск, ул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.Ш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табная 16;</w:t>
      </w:r>
    </w:p>
    <w:p w:rsidR="00F92D27" w:rsidRPr="00F92D27" w:rsidRDefault="00F92D27" w:rsidP="00F92D27">
      <w:pPr>
        <w:snapToGrid w:val="0"/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10.  комплекс музея им. Н.М. Мартьянова (научная библиотека), г. Минусинск, ул. Ленина, 60;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11.  дом жилой с воротами, кон. Х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I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Х в, г. Минусинск ул. Гоголя, 65;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12.  административное здание, кон. Х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I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Х в., г. Минусинск ул. Гоголя, 68;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13.  дом жилой, кон. ХIХ в., г. Минусинск ул. Ленина, 107;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 xml:space="preserve">14.  дом, в котором жил и умер в </w:t>
      </w:r>
      <w:smartTag w:uri="urn:schemas-microsoft-com:office:smarttags" w:element="metricconverter">
        <w:smartTagPr>
          <w:attr w:name="ProductID" w:val="1904 г"/>
        </w:smartTagPr>
        <w:r w:rsidRPr="00F92D27">
          <w:rPr>
            <w:rFonts w:ascii="Bookman Old Style" w:hAnsi="Bookman Old Style" w:cs="Times New Roman CYR"/>
            <w:bCs/>
            <w:color w:val="000000"/>
            <w:sz w:val="28"/>
            <w:szCs w:val="28"/>
          </w:rPr>
          <w:t>1904 г</w:t>
        </w:r>
      </w:smartTag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. основатель минусинского краеведческого музея Мартьянов Николай Михайлович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,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г. Минусинск ул. Мартьянова, 14/ул. Гоголя, 51;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15.  дом жилой, кон. Х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I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Х в., г. Минусинск ул. Набережная, 26;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16. комплекс пожарного депо, рубеж Х</w:t>
      </w:r>
      <w:proofErr w:type="gram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I</w:t>
      </w:r>
      <w:proofErr w:type="gram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Х–ХХ вв.:  корпус пожарного депо;  корпус театра, г. Минусинск ул. Обороны, 2.;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17.  церковь Сретенья г.Минусинск старое городское кладбище;</w:t>
      </w:r>
    </w:p>
    <w:p w:rsidR="00F92D27" w:rsidRPr="00F92D27" w:rsidRDefault="00F92D27" w:rsidP="00F92D27">
      <w:pPr>
        <w:spacing w:after="0"/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18. памятник погибшим </w:t>
      </w:r>
      <w:proofErr w:type="spellStart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>минусинцам</w:t>
      </w:r>
      <w:proofErr w:type="spellEnd"/>
      <w:r w:rsidRPr="00F92D2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- участникам Великой Отечественной войны 1941-1945 г. Минусинск, площадь Победы</w:t>
      </w:r>
    </w:p>
    <w:p w:rsidR="00DC7EE7" w:rsidRDefault="00DC7EE7" w:rsidP="00CB112D">
      <w:pPr>
        <w:pStyle w:val="a3"/>
        <w:numPr>
          <w:ilvl w:val="0"/>
          <w:numId w:val="1"/>
        </w:numPr>
        <w:spacing w:before="240"/>
        <w:ind w:left="1134" w:hanging="283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Физическая культура и спорт</w:t>
      </w:r>
    </w:p>
    <w:p w:rsidR="004D4EE1" w:rsidRPr="00D64E25" w:rsidRDefault="00DC7EE7" w:rsidP="007415CD">
      <w:pPr>
        <w:pStyle w:val="a3"/>
        <w:numPr>
          <w:ilvl w:val="0"/>
          <w:numId w:val="27"/>
        </w:numPr>
        <w:ind w:left="851" w:firstLine="0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 xml:space="preserve">Численность жителей занимающихся физической культурой и спортом в муниципальном образовании город Минусинске по сравнению с 2015 годом  увеличилась с  31,01 % (20472 чел.) до 32,84 % (21696 чел.).  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 xml:space="preserve">В 2016 году количество учащихся занимающихся в МБУ ДО «СДЮСШОР </w:t>
      </w:r>
      <w:proofErr w:type="spellStart"/>
      <w:r w:rsidRPr="003A1552">
        <w:rPr>
          <w:rFonts w:ascii="Bookman Old Style" w:hAnsi="Bookman Old Style" w:cs="Bookman Old Style"/>
          <w:sz w:val="28"/>
          <w:szCs w:val="28"/>
        </w:rPr>
        <w:t>им.В.П</w:t>
      </w:r>
      <w:proofErr w:type="spellEnd"/>
      <w:r w:rsidRPr="003A1552">
        <w:rPr>
          <w:rFonts w:ascii="Bookman Old Style" w:hAnsi="Bookman Old Style" w:cs="Bookman Old Style"/>
          <w:sz w:val="28"/>
          <w:szCs w:val="28"/>
        </w:rPr>
        <w:t xml:space="preserve">. </w:t>
      </w:r>
      <w:proofErr w:type="spellStart"/>
      <w:r w:rsidRPr="003A1552">
        <w:rPr>
          <w:rFonts w:ascii="Bookman Old Style" w:hAnsi="Bookman Old Style" w:cs="Bookman Old Style"/>
          <w:sz w:val="28"/>
          <w:szCs w:val="28"/>
        </w:rPr>
        <w:t>Щедрухина</w:t>
      </w:r>
      <w:proofErr w:type="spellEnd"/>
      <w:r w:rsidRPr="003A1552">
        <w:rPr>
          <w:rFonts w:ascii="Bookman Old Style" w:hAnsi="Bookman Old Style" w:cs="Bookman Old Style"/>
          <w:sz w:val="28"/>
          <w:szCs w:val="28"/>
        </w:rPr>
        <w:t>» составило 979 чел., из них 195 чел. в группах спортивного оздоровления, 422 учащихся в группах начальной подготовки, на тренировочном этапе – 339 учащихся, 20 учащихся на этапе спортивного совершенствования и 3 учащихся - высшего спортивного мастерства. В школе работает 26 высококвалифицированных тренеров.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3A1552">
        <w:rPr>
          <w:rFonts w:ascii="Bookman Old Style" w:hAnsi="Bookman Old Style" w:cs="Bookman Old Style"/>
          <w:sz w:val="28"/>
          <w:szCs w:val="28"/>
        </w:rPr>
        <w:t>численности</w:t>
      </w:r>
      <w:proofErr w:type="gramEnd"/>
      <w:r w:rsidRPr="003A1552">
        <w:rPr>
          <w:rFonts w:ascii="Bookman Old Style" w:hAnsi="Bookman Old Style" w:cs="Bookman Old Style"/>
          <w:sz w:val="28"/>
          <w:szCs w:val="28"/>
        </w:rPr>
        <w:t xml:space="preserve"> обучающихся за 2016 год составила 71 %.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увеличилась с 5,20% до 5,60%.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Количество занимающихся физической культурой и спортом в спортивных клубах и клубах по месту жительства составляет 3827 человек.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lastRenderedPageBreak/>
        <w:t xml:space="preserve">Единовременная пропускная способность спортивных сооружений города Минусинска составляет 2 400 человек. 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Календарный план проведения физкультурно-массовых и спортивных мероприятий на 2016 год, для различных возрастных и социальных групп населения г. Минусинска выполнен на 100%.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 xml:space="preserve">На базе всех общеобразовательных школ работают 12 физкультурно-оздоровительных клубов, в которых занимается 2429 учащихся. </w:t>
      </w:r>
      <w:proofErr w:type="gramStart"/>
      <w:r w:rsidRPr="003A1552">
        <w:rPr>
          <w:rFonts w:ascii="Bookman Old Style" w:hAnsi="Bookman Old Style" w:cs="Bookman Old Style"/>
          <w:sz w:val="28"/>
          <w:szCs w:val="28"/>
        </w:rPr>
        <w:t>В клубах ведутся такие секции как шашки, баскетбол, волейбол, лыжные гонки, коньки, настольный теннис, футбол, шахматы, легкая атлетика, туризм.</w:t>
      </w:r>
      <w:proofErr w:type="gramEnd"/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Кроме того занятия в спортивных секциях проводятся в следующих учреждениях дополнительного образования: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- МБУ МЦ «Защитник» - пейнтбол, туризм, скалолазание, тренажерный зал;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-МОБО ДО «Дом детского творчества» - художественная гимнастика;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- МОАУ ДО «Центр туризма»- спортивное ориентирование, спортивный туризм.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3A1552">
        <w:rPr>
          <w:rFonts w:ascii="Bookman Old Style" w:hAnsi="Bookman Old Style" w:cs="Bookman Old Style"/>
          <w:sz w:val="28"/>
          <w:szCs w:val="28"/>
        </w:rPr>
        <w:t>Основные задачи, стоящие перед муниципальным образованием для развития и совершенствования физической культуры и спорта, это: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3A1552">
        <w:rPr>
          <w:rFonts w:ascii="Bookman Old Style" w:hAnsi="Bookman Old Style" w:cs="Bookman Old Style"/>
          <w:sz w:val="28"/>
          <w:szCs w:val="28"/>
        </w:rPr>
        <w:t>Проведение ремонтов имеющихся спортивных объектов, в том числе капитальный ремонт полов игрового зала с/к им. Ю.В. Шумилова;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3A1552">
        <w:rPr>
          <w:rFonts w:ascii="Bookman Old Style" w:hAnsi="Bookman Old Style" w:cs="Bookman Old Style"/>
          <w:sz w:val="28"/>
          <w:szCs w:val="28"/>
        </w:rPr>
        <w:t>Укрепление материально-технической базы спортивных сооружений, приобретение спортивного инвентаря и оборудования учреждениями отдела спорта;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3A1552">
        <w:rPr>
          <w:rFonts w:ascii="Bookman Old Style" w:hAnsi="Bookman Old Style" w:cs="Bookman Old Style"/>
          <w:sz w:val="28"/>
          <w:szCs w:val="28"/>
        </w:rPr>
        <w:t>Обеспечение своевременного и качественного информирования жителей о физкультурной и спортивной жизни в городе Минусинске;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3A1552">
        <w:rPr>
          <w:rFonts w:ascii="Bookman Old Style" w:hAnsi="Bookman Old Style" w:cs="Bookman Old Style"/>
          <w:sz w:val="28"/>
          <w:szCs w:val="28"/>
        </w:rPr>
        <w:t>Продолжение работы по сертификации спортивных объектов для внесения во Всероссийский реестр объектов спорта;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3A1552">
        <w:rPr>
          <w:rFonts w:ascii="Bookman Old Style" w:hAnsi="Bookman Old Style" w:cs="Bookman Old Style"/>
          <w:sz w:val="28"/>
          <w:szCs w:val="28"/>
        </w:rPr>
        <w:t xml:space="preserve">Организация перевода МБУ ДО «СДЮСШОР им. В.П. </w:t>
      </w:r>
      <w:proofErr w:type="spellStart"/>
      <w:r w:rsidRPr="003A1552">
        <w:rPr>
          <w:rFonts w:ascii="Bookman Old Style" w:hAnsi="Bookman Old Style" w:cs="Bookman Old Style"/>
          <w:sz w:val="28"/>
          <w:szCs w:val="28"/>
        </w:rPr>
        <w:t>Щедрухина</w:t>
      </w:r>
      <w:proofErr w:type="spellEnd"/>
      <w:r w:rsidRPr="003A1552">
        <w:rPr>
          <w:rFonts w:ascii="Bookman Old Style" w:hAnsi="Bookman Old Style" w:cs="Bookman Old Style"/>
          <w:sz w:val="28"/>
          <w:szCs w:val="28"/>
        </w:rPr>
        <w:t>» в новый вид организации;</w:t>
      </w:r>
    </w:p>
    <w:p w:rsidR="003A1552" w:rsidRPr="003A1552" w:rsidRDefault="003A1552" w:rsidP="003A155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3A1552">
        <w:rPr>
          <w:rFonts w:ascii="Bookman Old Style" w:hAnsi="Bookman Old Style" w:cs="Bookman Old Style"/>
          <w:sz w:val="28"/>
          <w:szCs w:val="28"/>
        </w:rPr>
        <w:t>Продолжение внедрения комплекса ГТО среди разных слоёв населения.</w:t>
      </w:r>
    </w:p>
    <w:p w:rsidR="001C7C0C" w:rsidRPr="001C7C0C" w:rsidRDefault="001C7C0C" w:rsidP="001C7C0C">
      <w:pPr>
        <w:pStyle w:val="a3"/>
        <w:tabs>
          <w:tab w:val="left" w:pos="1156"/>
        </w:tabs>
        <w:spacing w:after="240"/>
        <w:ind w:left="851" w:right="-1"/>
        <w:jc w:val="both"/>
        <w:rPr>
          <w:rFonts w:ascii="Bookman Old Style" w:hAnsi="Bookman Old Style"/>
          <w:sz w:val="12"/>
          <w:szCs w:val="12"/>
        </w:rPr>
      </w:pPr>
    </w:p>
    <w:p w:rsidR="001C7C0C" w:rsidRDefault="001C7C0C" w:rsidP="007415CD">
      <w:pPr>
        <w:pStyle w:val="a3"/>
        <w:numPr>
          <w:ilvl w:val="1"/>
          <w:numId w:val="27"/>
        </w:numPr>
        <w:tabs>
          <w:tab w:val="left" w:pos="1156"/>
        </w:tabs>
        <w:spacing w:after="240"/>
        <w:ind w:right="-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Доля </w:t>
      </w:r>
      <w:proofErr w:type="gramStart"/>
      <w:r>
        <w:rPr>
          <w:rFonts w:ascii="Bookman Old Style" w:hAnsi="Bookman Old Style"/>
          <w:b/>
          <w:sz w:val="28"/>
          <w:szCs w:val="28"/>
        </w:rPr>
        <w:t>обучающихся</w:t>
      </w:r>
      <w:proofErr w:type="gramEnd"/>
      <w:r>
        <w:rPr>
          <w:rFonts w:ascii="Bookman Old Style" w:hAnsi="Bookman Old Style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1C7C0C" w:rsidRDefault="001C7C0C" w:rsidP="001C7C0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1C7C0C">
        <w:rPr>
          <w:rFonts w:ascii="Bookman Old Style" w:hAnsi="Bookman Old Style" w:cs="Bookman Old Style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1C7C0C">
        <w:rPr>
          <w:rFonts w:ascii="Bookman Old Style" w:hAnsi="Bookman Old Style" w:cs="Bookman Old Style"/>
          <w:sz w:val="28"/>
          <w:szCs w:val="28"/>
        </w:rPr>
        <w:t>численности</w:t>
      </w:r>
      <w:proofErr w:type="gramEnd"/>
      <w:r w:rsidRPr="001C7C0C">
        <w:rPr>
          <w:rFonts w:ascii="Bookman Old Style" w:hAnsi="Bookman Old Style" w:cs="Bookman Old Style"/>
          <w:sz w:val="28"/>
          <w:szCs w:val="28"/>
        </w:rPr>
        <w:t xml:space="preserve"> обучающихся за 201</w:t>
      </w:r>
      <w:r w:rsidR="00B716C6">
        <w:rPr>
          <w:rFonts w:ascii="Bookman Old Style" w:hAnsi="Bookman Old Style" w:cs="Bookman Old Style"/>
          <w:sz w:val="28"/>
          <w:szCs w:val="28"/>
        </w:rPr>
        <w:t xml:space="preserve">6 </w:t>
      </w:r>
      <w:r w:rsidRPr="001C7C0C">
        <w:rPr>
          <w:rFonts w:ascii="Bookman Old Style" w:hAnsi="Bookman Old Style" w:cs="Bookman Old Style"/>
          <w:sz w:val="28"/>
          <w:szCs w:val="28"/>
        </w:rPr>
        <w:t xml:space="preserve">год составила </w:t>
      </w:r>
      <w:r w:rsidR="00B716C6">
        <w:rPr>
          <w:rFonts w:ascii="Bookman Old Style" w:hAnsi="Bookman Old Style" w:cs="Bookman Old Style"/>
          <w:sz w:val="28"/>
          <w:szCs w:val="28"/>
        </w:rPr>
        <w:t>69,74</w:t>
      </w:r>
      <w:r w:rsidRPr="001C7C0C">
        <w:rPr>
          <w:rFonts w:ascii="Bookman Old Style" w:hAnsi="Bookman Old Style" w:cs="Bookman Old Style"/>
          <w:sz w:val="28"/>
          <w:szCs w:val="28"/>
        </w:rPr>
        <w:t xml:space="preserve"> %.</w:t>
      </w:r>
    </w:p>
    <w:p w:rsidR="00A5201E" w:rsidRPr="00A5201E" w:rsidRDefault="00A5201E" w:rsidP="00A5201E">
      <w:pPr>
        <w:widowControl w:val="0"/>
        <w:suppressAutoHyphens/>
        <w:ind w:firstLine="737"/>
        <w:jc w:val="both"/>
        <w:rPr>
          <w:rFonts w:ascii="Bookman Old Style" w:hAnsi="Bookman Old Style" w:cs="Bookman Old Style"/>
          <w:sz w:val="28"/>
          <w:szCs w:val="28"/>
        </w:rPr>
      </w:pPr>
      <w:r w:rsidRPr="00A5201E">
        <w:rPr>
          <w:rFonts w:ascii="Bookman Old Style" w:hAnsi="Bookman Old Style" w:cs="Bookman Old Style"/>
          <w:sz w:val="28"/>
          <w:szCs w:val="28"/>
        </w:rPr>
        <w:t xml:space="preserve">В п.23.1. увеличен показатель «доля обучающихся, систематически занимающихся физической культурой и спортом, в общей </w:t>
      </w:r>
      <w:proofErr w:type="gramStart"/>
      <w:r w:rsidRPr="00A5201E">
        <w:rPr>
          <w:rFonts w:ascii="Bookman Old Style" w:hAnsi="Bookman Old Style" w:cs="Bookman Old Style"/>
          <w:sz w:val="28"/>
          <w:szCs w:val="28"/>
        </w:rPr>
        <w:t>численности</w:t>
      </w:r>
      <w:proofErr w:type="gramEnd"/>
      <w:r w:rsidRPr="00A5201E">
        <w:rPr>
          <w:rFonts w:ascii="Bookman Old Style" w:hAnsi="Bookman Old Style" w:cs="Bookman Old Style"/>
          <w:sz w:val="28"/>
          <w:szCs w:val="28"/>
        </w:rPr>
        <w:t xml:space="preserve"> обучающихся» за 2016 год  (Ч н.-15378 чел., Ч з.-10724 чел.). Открытие Центра тестирования  ГТО на базе МБУ «</w:t>
      </w:r>
      <w:proofErr w:type="spellStart"/>
      <w:r w:rsidRPr="00A5201E">
        <w:rPr>
          <w:rFonts w:ascii="Bookman Old Style" w:hAnsi="Bookman Old Style" w:cs="Bookman Old Style"/>
          <w:sz w:val="28"/>
          <w:szCs w:val="28"/>
        </w:rPr>
        <w:t>Горспортсооружения</w:t>
      </w:r>
      <w:proofErr w:type="spellEnd"/>
      <w:r w:rsidRPr="00A5201E">
        <w:rPr>
          <w:rFonts w:ascii="Bookman Old Style" w:hAnsi="Bookman Old Style" w:cs="Bookman Old Style"/>
          <w:sz w:val="28"/>
          <w:szCs w:val="28"/>
        </w:rPr>
        <w:t>» и обустройство существующего плоскостного спортивного сооружения «Футбольное поле» на стадионе «Электрон» привлекло учащихся  г. Минусинска заниматься физической культурой и спортом.</w:t>
      </w:r>
    </w:p>
    <w:p w:rsidR="00A5201E" w:rsidRPr="001C7C0C" w:rsidRDefault="00A5201E" w:rsidP="001C7C0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</w:p>
    <w:p w:rsidR="00DC7EE7" w:rsidRDefault="00DC7EE7" w:rsidP="00EB22AB">
      <w:pPr>
        <w:pStyle w:val="a3"/>
        <w:numPr>
          <w:ilvl w:val="0"/>
          <w:numId w:val="1"/>
        </w:numPr>
        <w:ind w:firstLine="65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Жилищное строительство и обеспечение граждан жильем</w:t>
      </w:r>
    </w:p>
    <w:p w:rsidR="00D149FE" w:rsidRPr="00D149FE" w:rsidRDefault="00D149FE" w:rsidP="00D149FE">
      <w:pPr>
        <w:pStyle w:val="a3"/>
        <w:ind w:left="851"/>
        <w:jc w:val="both"/>
        <w:rPr>
          <w:rFonts w:ascii="Bookman Old Style" w:hAnsi="Bookman Old Style"/>
          <w:b/>
          <w:sz w:val="12"/>
          <w:szCs w:val="12"/>
        </w:rPr>
      </w:pPr>
    </w:p>
    <w:p w:rsidR="00D149FE" w:rsidRPr="00491FC1" w:rsidRDefault="00D149FE" w:rsidP="007415CD">
      <w:pPr>
        <w:pStyle w:val="a3"/>
        <w:numPr>
          <w:ilvl w:val="0"/>
          <w:numId w:val="27"/>
        </w:numPr>
        <w:jc w:val="both"/>
        <w:rPr>
          <w:rFonts w:ascii="Bookman Old Style" w:hAnsi="Bookman Old Style"/>
          <w:b/>
          <w:sz w:val="28"/>
          <w:szCs w:val="28"/>
        </w:rPr>
      </w:pPr>
      <w:r w:rsidRPr="00491FC1">
        <w:rPr>
          <w:rFonts w:ascii="Bookman Old Style" w:hAnsi="Bookman Old Style"/>
          <w:b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год</w:t>
      </w:r>
    </w:p>
    <w:p w:rsidR="002C548D" w:rsidRPr="00491FC1" w:rsidRDefault="002C548D" w:rsidP="00CE306F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>Строительная отрасль на территории муниципального образования  город Миусинск представлена предприятиями малого и среднего предпринимательства и отдельными структурными подразделениями строительных компаний  других территорий.</w:t>
      </w:r>
    </w:p>
    <w:p w:rsidR="000D6DA5" w:rsidRPr="00491FC1" w:rsidRDefault="00CE306F" w:rsidP="000D6DA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>В</w:t>
      </w:r>
      <w:r w:rsidR="000D6DA5" w:rsidRPr="00491FC1">
        <w:rPr>
          <w:rFonts w:ascii="Bookman Old Style" w:hAnsi="Bookman Old Style"/>
          <w:sz w:val="28"/>
          <w:szCs w:val="28"/>
        </w:rPr>
        <w:t xml:space="preserve"> отчетном году строительным комплексом города Минусинска введено </w:t>
      </w:r>
      <w:r w:rsidR="00061C01" w:rsidRPr="00491FC1">
        <w:rPr>
          <w:rFonts w:ascii="Bookman Old Style" w:hAnsi="Bookman Old Style"/>
          <w:sz w:val="28"/>
          <w:szCs w:val="28"/>
        </w:rPr>
        <w:t>34</w:t>
      </w:r>
      <w:r w:rsidR="00491FC1">
        <w:rPr>
          <w:rFonts w:ascii="Bookman Old Style" w:hAnsi="Bookman Old Style"/>
          <w:sz w:val="28"/>
          <w:szCs w:val="28"/>
        </w:rPr>
        <w:t> </w:t>
      </w:r>
      <w:r w:rsidR="00061C01" w:rsidRPr="00491FC1">
        <w:rPr>
          <w:rFonts w:ascii="Bookman Old Style" w:hAnsi="Bookman Old Style"/>
          <w:sz w:val="28"/>
          <w:szCs w:val="28"/>
        </w:rPr>
        <w:t>887</w:t>
      </w:r>
      <w:r w:rsidR="00491FC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61C01" w:rsidRPr="00491FC1">
        <w:rPr>
          <w:rFonts w:ascii="Bookman Old Style" w:hAnsi="Bookman Old Style"/>
          <w:sz w:val="28"/>
          <w:szCs w:val="28"/>
        </w:rPr>
        <w:t>кв</w:t>
      </w:r>
      <w:proofErr w:type="gramStart"/>
      <w:r w:rsidR="00061C01" w:rsidRPr="00491FC1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="000D6DA5" w:rsidRPr="00491FC1">
        <w:rPr>
          <w:rFonts w:ascii="Bookman Old Style" w:hAnsi="Bookman Old Style"/>
          <w:sz w:val="28"/>
          <w:szCs w:val="28"/>
        </w:rPr>
        <w:t xml:space="preserve"> жилья, </w:t>
      </w:r>
      <w:r w:rsidR="00061C01" w:rsidRPr="00491FC1">
        <w:rPr>
          <w:rFonts w:ascii="Bookman Old Style" w:hAnsi="Bookman Old Style"/>
          <w:sz w:val="28"/>
          <w:szCs w:val="28"/>
        </w:rPr>
        <w:t>в сравнении с 2015 годом показатель снижен на 54,1%</w:t>
      </w:r>
      <w:r w:rsidR="000D6DA5" w:rsidRPr="00491FC1">
        <w:rPr>
          <w:rFonts w:ascii="Bookman Old Style" w:hAnsi="Bookman Old Style"/>
          <w:sz w:val="28"/>
          <w:szCs w:val="28"/>
        </w:rPr>
        <w:t xml:space="preserve">. </w:t>
      </w:r>
    </w:p>
    <w:p w:rsidR="000D6DA5" w:rsidRPr="00491FC1" w:rsidRDefault="00CE306F" w:rsidP="000D6DA5">
      <w:pPr>
        <w:spacing w:after="0"/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491FC1">
        <w:rPr>
          <w:rFonts w:ascii="Bookman Old Style" w:hAnsi="Bookman Old Style"/>
          <w:b/>
          <w:sz w:val="28"/>
          <w:szCs w:val="28"/>
        </w:rPr>
        <w:t>Д</w:t>
      </w:r>
      <w:r w:rsidR="000D6DA5" w:rsidRPr="00491FC1">
        <w:rPr>
          <w:rFonts w:ascii="Bookman Old Style" w:hAnsi="Bookman Old Style"/>
          <w:b/>
          <w:sz w:val="28"/>
          <w:szCs w:val="28"/>
        </w:rPr>
        <w:t>инамика ввода жилья</w:t>
      </w:r>
    </w:p>
    <w:p w:rsidR="00EB22AB" w:rsidRPr="00A5201E" w:rsidRDefault="00EB22AB" w:rsidP="000D6DA5">
      <w:pPr>
        <w:spacing w:after="0"/>
        <w:ind w:firstLine="708"/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</w:p>
    <w:p w:rsidR="000D6DA5" w:rsidRPr="00A5201E" w:rsidRDefault="000D6DA5" w:rsidP="000D6DA5">
      <w:pPr>
        <w:jc w:val="center"/>
        <w:rPr>
          <w:rFonts w:ascii="Bookman Old Style" w:hAnsi="Bookman Old Style"/>
          <w:sz w:val="28"/>
          <w:szCs w:val="28"/>
          <w:highlight w:val="yellow"/>
        </w:rPr>
      </w:pPr>
      <w:r w:rsidRPr="00A5201E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4229100" cy="23050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6DA5" w:rsidRPr="00491FC1" w:rsidRDefault="00F34862" w:rsidP="000D6DA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 xml:space="preserve">Причиной снижения данного показателя является </w:t>
      </w:r>
      <w:r w:rsidR="00491FC1">
        <w:rPr>
          <w:rFonts w:ascii="Bookman Old Style" w:hAnsi="Bookman Old Style"/>
          <w:sz w:val="28"/>
          <w:szCs w:val="28"/>
        </w:rPr>
        <w:t xml:space="preserve">снижение </w:t>
      </w:r>
      <w:r w:rsidRPr="00491FC1">
        <w:rPr>
          <w:rFonts w:ascii="Bookman Old Style" w:hAnsi="Bookman Old Style"/>
          <w:sz w:val="28"/>
          <w:szCs w:val="28"/>
        </w:rPr>
        <w:t>в 201</w:t>
      </w:r>
      <w:r w:rsidR="00491FC1">
        <w:rPr>
          <w:rFonts w:ascii="Bookman Old Style" w:hAnsi="Bookman Old Style"/>
          <w:sz w:val="28"/>
          <w:szCs w:val="28"/>
        </w:rPr>
        <w:t>6</w:t>
      </w:r>
      <w:r w:rsidRPr="00491FC1">
        <w:rPr>
          <w:rFonts w:ascii="Bookman Old Style" w:hAnsi="Bookman Old Style"/>
          <w:sz w:val="28"/>
          <w:szCs w:val="28"/>
        </w:rPr>
        <w:t xml:space="preserve"> году общей площади жилых домов введенных в эксплуатацию</w:t>
      </w:r>
      <w:r w:rsidR="004C3C9C" w:rsidRPr="00491FC1">
        <w:rPr>
          <w:rFonts w:ascii="Bookman Old Style" w:hAnsi="Bookman Old Style"/>
          <w:sz w:val="28"/>
          <w:szCs w:val="28"/>
        </w:rPr>
        <w:t xml:space="preserve"> на территории города Минусинска</w:t>
      </w:r>
      <w:r w:rsidR="00491FC1">
        <w:rPr>
          <w:rFonts w:ascii="Bookman Old Style" w:hAnsi="Bookman Old Style"/>
          <w:sz w:val="28"/>
          <w:szCs w:val="28"/>
        </w:rPr>
        <w:t xml:space="preserve"> на 29 641 кв. м.</w:t>
      </w:r>
    </w:p>
    <w:p w:rsidR="004C3C9C" w:rsidRDefault="004C3C9C" w:rsidP="000D6DA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491FC1">
        <w:rPr>
          <w:rFonts w:ascii="Bookman Old Style" w:hAnsi="Bookman Old Style"/>
          <w:sz w:val="28"/>
          <w:szCs w:val="28"/>
        </w:rPr>
        <w:t xml:space="preserve">Населением </w:t>
      </w:r>
      <w:r w:rsidR="00491FC1" w:rsidRPr="00491FC1">
        <w:rPr>
          <w:rFonts w:ascii="Bookman Old Style" w:hAnsi="Bookman Old Style"/>
          <w:sz w:val="28"/>
          <w:szCs w:val="28"/>
        </w:rPr>
        <w:t xml:space="preserve">в 2016 году </w:t>
      </w:r>
      <w:r w:rsidRPr="00491FC1">
        <w:rPr>
          <w:rFonts w:ascii="Bookman Old Style" w:hAnsi="Bookman Old Style"/>
          <w:sz w:val="28"/>
          <w:szCs w:val="28"/>
        </w:rPr>
        <w:t>за счет собственных и заемных средств построено 20</w:t>
      </w:r>
      <w:r w:rsidR="00491FC1" w:rsidRPr="00491FC1">
        <w:rPr>
          <w:rFonts w:ascii="Bookman Old Style" w:hAnsi="Bookman Old Style"/>
          <w:sz w:val="28"/>
          <w:szCs w:val="28"/>
        </w:rPr>
        <w:t xml:space="preserve"> </w:t>
      </w:r>
      <w:r w:rsidRPr="00491FC1">
        <w:rPr>
          <w:rFonts w:ascii="Bookman Old Style" w:hAnsi="Bookman Old Style"/>
          <w:sz w:val="28"/>
          <w:szCs w:val="28"/>
        </w:rPr>
        <w:t xml:space="preserve">223 </w:t>
      </w:r>
      <w:proofErr w:type="spellStart"/>
      <w:r w:rsidRPr="00491FC1">
        <w:rPr>
          <w:rFonts w:ascii="Bookman Old Style" w:hAnsi="Bookman Old Style"/>
          <w:sz w:val="28"/>
          <w:szCs w:val="28"/>
        </w:rPr>
        <w:t>кв.м</w:t>
      </w:r>
      <w:proofErr w:type="spellEnd"/>
      <w:r w:rsidRPr="00491FC1">
        <w:rPr>
          <w:rFonts w:ascii="Bookman Old Style" w:hAnsi="Bookman Old Style"/>
          <w:sz w:val="28"/>
          <w:szCs w:val="28"/>
        </w:rPr>
        <w:t>. общей п</w:t>
      </w:r>
      <w:r w:rsidR="00EF0178" w:rsidRPr="00491FC1">
        <w:rPr>
          <w:rFonts w:ascii="Bookman Old Style" w:hAnsi="Bookman Old Style"/>
          <w:sz w:val="28"/>
          <w:szCs w:val="28"/>
        </w:rPr>
        <w:t>лощади жилых домов (71,8% общего объ</w:t>
      </w:r>
      <w:r w:rsidR="00491FC1" w:rsidRPr="00491FC1">
        <w:rPr>
          <w:rFonts w:ascii="Bookman Old Style" w:hAnsi="Bookman Old Style"/>
          <w:sz w:val="28"/>
          <w:szCs w:val="28"/>
        </w:rPr>
        <w:t>е</w:t>
      </w:r>
      <w:r w:rsidR="00EF0178" w:rsidRPr="00491FC1">
        <w:rPr>
          <w:rFonts w:ascii="Bookman Old Style" w:hAnsi="Bookman Old Style"/>
          <w:sz w:val="28"/>
          <w:szCs w:val="28"/>
        </w:rPr>
        <w:t>ма ввода жилья), что на 10,3% ниже показателя предыдущего года.</w:t>
      </w:r>
    </w:p>
    <w:p w:rsidR="00491FC1" w:rsidRPr="00491FC1" w:rsidRDefault="00491FC1" w:rsidP="000D6DA5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0D6DA5" w:rsidRPr="00491FC1" w:rsidRDefault="000D6DA5" w:rsidP="000D6DA5">
      <w:pPr>
        <w:spacing w:after="0"/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491FC1">
        <w:rPr>
          <w:rFonts w:ascii="Bookman Old Style" w:hAnsi="Bookman Old Style"/>
          <w:b/>
          <w:sz w:val="28"/>
          <w:szCs w:val="28"/>
        </w:rPr>
        <w:t>Динамика ввода индивидуальных жилых домов за счет средств населения</w:t>
      </w:r>
    </w:p>
    <w:p w:rsidR="000D6DA5" w:rsidRPr="00A5201E" w:rsidRDefault="000D6DA5" w:rsidP="000D6DA5">
      <w:pPr>
        <w:spacing w:after="0"/>
        <w:jc w:val="center"/>
        <w:rPr>
          <w:rFonts w:ascii="Bookman Old Style" w:hAnsi="Bookman Old Style"/>
          <w:sz w:val="28"/>
          <w:szCs w:val="28"/>
          <w:highlight w:val="yellow"/>
        </w:rPr>
      </w:pPr>
      <w:r w:rsidRPr="00A5201E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561022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6DA5" w:rsidRPr="00A5201E" w:rsidRDefault="000D6DA5" w:rsidP="000D6DA5">
      <w:pPr>
        <w:pStyle w:val="a3"/>
        <w:spacing w:after="0"/>
        <w:ind w:left="765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0D6DA5" w:rsidRDefault="000D6DA5" w:rsidP="000D6DA5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1827"/>
        <w:gridCol w:w="1438"/>
        <w:gridCol w:w="1214"/>
        <w:gridCol w:w="1121"/>
        <w:gridCol w:w="1213"/>
      </w:tblGrid>
      <w:tr w:rsidR="00371DDC" w:rsidRPr="00FE20C1" w:rsidTr="00371DDC">
        <w:tc>
          <w:tcPr>
            <w:tcW w:w="9214" w:type="dxa"/>
            <w:gridSpan w:val="6"/>
          </w:tcPr>
          <w:p w:rsidR="00371DDC" w:rsidRPr="00FE20C1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Ввод жилья, кв. метров</w:t>
            </w:r>
          </w:p>
        </w:tc>
      </w:tr>
      <w:tr w:rsidR="00371DDC" w:rsidRPr="00FE20C1" w:rsidTr="00371DDC">
        <w:tc>
          <w:tcPr>
            <w:tcW w:w="2401" w:type="dxa"/>
            <w:vMerge w:val="restart"/>
          </w:tcPr>
          <w:p w:rsidR="00371DDC" w:rsidRPr="00FE20C1" w:rsidRDefault="00371DDC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7" w:type="dxa"/>
          </w:tcPr>
          <w:p w:rsidR="00371DDC" w:rsidRPr="00FE20C1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Предыдущий период</w:t>
            </w:r>
          </w:p>
        </w:tc>
        <w:tc>
          <w:tcPr>
            <w:tcW w:w="1438" w:type="dxa"/>
          </w:tcPr>
          <w:p w:rsidR="00371DDC" w:rsidRPr="00FE20C1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Отчетный период</w:t>
            </w:r>
          </w:p>
        </w:tc>
        <w:tc>
          <w:tcPr>
            <w:tcW w:w="3548" w:type="dxa"/>
            <w:gridSpan w:val="3"/>
          </w:tcPr>
          <w:p w:rsidR="00371DDC" w:rsidRPr="00FE20C1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прогноз</w:t>
            </w:r>
          </w:p>
        </w:tc>
      </w:tr>
      <w:tr w:rsidR="00371DDC" w:rsidRPr="00FE20C1" w:rsidTr="00371DDC">
        <w:tc>
          <w:tcPr>
            <w:tcW w:w="2401" w:type="dxa"/>
            <w:vMerge/>
          </w:tcPr>
          <w:p w:rsidR="00371DDC" w:rsidRPr="00FE20C1" w:rsidRDefault="00371DDC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7" w:type="dxa"/>
          </w:tcPr>
          <w:p w:rsidR="00371DDC" w:rsidRPr="00FE20C1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20C1">
              <w:rPr>
                <w:rFonts w:ascii="Bookman Old Style" w:hAnsi="Bookman Old Style"/>
                <w:sz w:val="26"/>
                <w:szCs w:val="26"/>
              </w:rPr>
              <w:t>201</w:t>
            </w:r>
            <w:r w:rsidR="004A3FD1" w:rsidRPr="00FE20C1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1438" w:type="dxa"/>
          </w:tcPr>
          <w:p w:rsidR="00371DDC" w:rsidRPr="00FE20C1" w:rsidRDefault="00371DDC" w:rsidP="004A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20C1">
              <w:rPr>
                <w:rFonts w:ascii="Bookman Old Style" w:hAnsi="Bookman Old Style"/>
                <w:sz w:val="26"/>
                <w:szCs w:val="26"/>
              </w:rPr>
              <w:t>201</w:t>
            </w:r>
            <w:r w:rsidR="004A3FD1" w:rsidRPr="00FE20C1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1214" w:type="dxa"/>
          </w:tcPr>
          <w:p w:rsidR="00371DDC" w:rsidRPr="00FE20C1" w:rsidRDefault="00371DDC" w:rsidP="0014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20C1">
              <w:rPr>
                <w:rFonts w:ascii="Bookman Old Style" w:hAnsi="Bookman Old Style"/>
                <w:sz w:val="26"/>
                <w:szCs w:val="26"/>
              </w:rPr>
              <w:t>201</w:t>
            </w:r>
            <w:r w:rsidR="00147D42" w:rsidRPr="00FE20C1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1121" w:type="dxa"/>
          </w:tcPr>
          <w:p w:rsidR="00371DDC" w:rsidRPr="00FE20C1" w:rsidRDefault="00371DDC" w:rsidP="0014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20C1">
              <w:rPr>
                <w:rFonts w:ascii="Bookman Old Style" w:hAnsi="Bookman Old Style"/>
                <w:sz w:val="26"/>
                <w:szCs w:val="26"/>
              </w:rPr>
              <w:t>201</w:t>
            </w:r>
            <w:r w:rsidR="00147D42" w:rsidRPr="00FE20C1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1213" w:type="dxa"/>
          </w:tcPr>
          <w:p w:rsidR="00371DDC" w:rsidRPr="00FE20C1" w:rsidRDefault="00371DDC" w:rsidP="0014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E20C1">
              <w:rPr>
                <w:rFonts w:ascii="Bookman Old Style" w:hAnsi="Bookman Old Style"/>
                <w:sz w:val="26"/>
                <w:szCs w:val="26"/>
              </w:rPr>
              <w:t>201</w:t>
            </w:r>
            <w:r w:rsidR="00147D42" w:rsidRPr="00FE20C1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4A3FD1" w:rsidRPr="00FE20C1" w:rsidTr="00371DDC">
        <w:tc>
          <w:tcPr>
            <w:tcW w:w="2401" w:type="dxa"/>
          </w:tcPr>
          <w:p w:rsidR="004A3FD1" w:rsidRPr="00FE20C1" w:rsidRDefault="004A3FD1" w:rsidP="0037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 xml:space="preserve">Введено всего, </w:t>
            </w:r>
          </w:p>
          <w:p w:rsidR="004A3FD1" w:rsidRPr="00FE20C1" w:rsidRDefault="004A3FD1" w:rsidP="0037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в том числе</w:t>
            </w:r>
          </w:p>
        </w:tc>
        <w:tc>
          <w:tcPr>
            <w:tcW w:w="1827" w:type="dxa"/>
            <w:vAlign w:val="bottom"/>
          </w:tcPr>
          <w:p w:rsidR="004A3FD1" w:rsidRPr="00FE20C1" w:rsidRDefault="004A3FD1" w:rsidP="004A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64 528</w:t>
            </w:r>
          </w:p>
        </w:tc>
        <w:tc>
          <w:tcPr>
            <w:tcW w:w="1438" w:type="dxa"/>
            <w:vAlign w:val="bottom"/>
          </w:tcPr>
          <w:p w:rsidR="004A3FD1" w:rsidRPr="00FE20C1" w:rsidRDefault="004A3FD1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34887</w:t>
            </w:r>
          </w:p>
        </w:tc>
        <w:tc>
          <w:tcPr>
            <w:tcW w:w="1214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35 000</w:t>
            </w:r>
          </w:p>
        </w:tc>
        <w:tc>
          <w:tcPr>
            <w:tcW w:w="1121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36000</w:t>
            </w:r>
          </w:p>
        </w:tc>
        <w:tc>
          <w:tcPr>
            <w:tcW w:w="1213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37000</w:t>
            </w:r>
          </w:p>
        </w:tc>
      </w:tr>
      <w:tr w:rsidR="004A3FD1" w:rsidRPr="00FE20C1" w:rsidTr="00371DDC">
        <w:tc>
          <w:tcPr>
            <w:tcW w:w="2401" w:type="dxa"/>
          </w:tcPr>
          <w:p w:rsidR="004A3FD1" w:rsidRPr="00FE20C1" w:rsidRDefault="004A3FD1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27" w:type="dxa"/>
            <w:vAlign w:val="bottom"/>
          </w:tcPr>
          <w:p w:rsidR="004A3FD1" w:rsidRPr="00FE20C1" w:rsidRDefault="004A3FD1" w:rsidP="004A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46 317</w:t>
            </w:r>
          </w:p>
        </w:tc>
        <w:tc>
          <w:tcPr>
            <w:tcW w:w="1438" w:type="dxa"/>
            <w:vAlign w:val="bottom"/>
          </w:tcPr>
          <w:p w:rsidR="004A3FD1" w:rsidRPr="00FE20C1" w:rsidRDefault="004A3FD1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20223</w:t>
            </w:r>
          </w:p>
        </w:tc>
        <w:tc>
          <w:tcPr>
            <w:tcW w:w="1214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17903</w:t>
            </w:r>
          </w:p>
        </w:tc>
        <w:tc>
          <w:tcPr>
            <w:tcW w:w="1121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17903</w:t>
            </w:r>
          </w:p>
        </w:tc>
        <w:tc>
          <w:tcPr>
            <w:tcW w:w="1213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17903</w:t>
            </w:r>
          </w:p>
        </w:tc>
      </w:tr>
      <w:tr w:rsidR="004A3FD1" w:rsidRPr="00FE20C1" w:rsidTr="00371DDC">
        <w:tc>
          <w:tcPr>
            <w:tcW w:w="2401" w:type="dxa"/>
          </w:tcPr>
          <w:p w:rsidR="004A3FD1" w:rsidRPr="00FE20C1" w:rsidRDefault="004A3FD1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lastRenderedPageBreak/>
              <w:t>Многоквартирное строительство</w:t>
            </w:r>
          </w:p>
        </w:tc>
        <w:tc>
          <w:tcPr>
            <w:tcW w:w="1827" w:type="dxa"/>
            <w:vAlign w:val="bottom"/>
          </w:tcPr>
          <w:p w:rsidR="004A3FD1" w:rsidRPr="00FE20C1" w:rsidRDefault="004A3FD1" w:rsidP="004A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18 211</w:t>
            </w:r>
          </w:p>
        </w:tc>
        <w:tc>
          <w:tcPr>
            <w:tcW w:w="1438" w:type="dxa"/>
            <w:vAlign w:val="bottom"/>
          </w:tcPr>
          <w:p w:rsidR="004A3FD1" w:rsidRPr="00FE20C1" w:rsidRDefault="004A3FD1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14684</w:t>
            </w:r>
          </w:p>
        </w:tc>
        <w:tc>
          <w:tcPr>
            <w:tcW w:w="1214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17097</w:t>
            </w:r>
          </w:p>
        </w:tc>
        <w:tc>
          <w:tcPr>
            <w:tcW w:w="1121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18097</w:t>
            </w:r>
          </w:p>
        </w:tc>
        <w:tc>
          <w:tcPr>
            <w:tcW w:w="1213" w:type="dxa"/>
            <w:vAlign w:val="bottom"/>
          </w:tcPr>
          <w:p w:rsidR="004A3FD1" w:rsidRPr="00FE20C1" w:rsidRDefault="0079298E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20C1">
              <w:rPr>
                <w:rFonts w:ascii="Bookman Old Style" w:hAnsi="Bookman Old Style"/>
                <w:sz w:val="24"/>
                <w:szCs w:val="24"/>
              </w:rPr>
              <w:t>19097</w:t>
            </w:r>
          </w:p>
        </w:tc>
      </w:tr>
    </w:tbl>
    <w:p w:rsidR="00371DDC" w:rsidRPr="00FE20C1" w:rsidRDefault="00371DDC" w:rsidP="00DF39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162EC" w:rsidRDefault="003162EC" w:rsidP="003162E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FE20C1">
        <w:rPr>
          <w:rFonts w:ascii="Bookman Old Style" w:hAnsi="Bookman Old Style"/>
          <w:sz w:val="28"/>
          <w:szCs w:val="28"/>
        </w:rPr>
        <w:t xml:space="preserve">В 2016 году по сравнению с 2015 годом спад показателя обусловлен тем, что в 2015 году закончилась реализация региональной адресной программы «Переселение граждан из ветхого и  аварийного жилищного фонда  в Красноярском крае». </w:t>
      </w:r>
      <w:r w:rsidRPr="00FE20C1">
        <w:rPr>
          <w:rFonts w:ascii="Bookman Old Style" w:hAnsi="Bookman Old Style"/>
          <w:bCs/>
          <w:sz w:val="28"/>
          <w:szCs w:val="28"/>
        </w:rPr>
        <w:t>Задача в рамках «майских» указов Президента о ликвидации аварийного жилищного фонда на 1 января 2012 года выполнена.</w:t>
      </w:r>
    </w:p>
    <w:p w:rsidR="00491FC1" w:rsidRPr="000D6DA5" w:rsidRDefault="00491FC1" w:rsidP="003162E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DC7EE7" w:rsidRPr="00D149FE" w:rsidRDefault="00DC7EE7" w:rsidP="007415CD">
      <w:pPr>
        <w:pStyle w:val="a3"/>
        <w:numPr>
          <w:ilvl w:val="0"/>
          <w:numId w:val="27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149FE">
        <w:rPr>
          <w:rFonts w:ascii="Bookman Old Style" w:hAnsi="Bookman Old Style"/>
          <w:b/>
          <w:sz w:val="28"/>
          <w:szCs w:val="28"/>
        </w:rPr>
        <w:t>Площадь земельных участков, предоставленных для строительства, в расчете на 10 тыс. человек населения</w:t>
      </w:r>
    </w:p>
    <w:p w:rsidR="00272E27" w:rsidRDefault="00272E27" w:rsidP="00272E2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272E27">
        <w:rPr>
          <w:rFonts w:ascii="Bookman Old Style" w:hAnsi="Bookman Old Style" w:cs="Bookman Old Style"/>
          <w:sz w:val="28"/>
          <w:szCs w:val="28"/>
        </w:rPr>
        <w:t xml:space="preserve">В соответствии с постановлением администрации города Минусинска от 10.07.2012 года № 1211-п предоставление земельных участков для строительства, находящихся в муниципальной собственности, а также земельных участков, государственная собственность на которые не разграничена, осуществляется путем проведения аукционов по продаже права аренды. </w:t>
      </w:r>
      <w:r w:rsidR="008E52E0">
        <w:rPr>
          <w:rFonts w:ascii="Bookman Old Style" w:hAnsi="Bookman Old Style" w:cs="Bookman Old Style"/>
          <w:sz w:val="28"/>
          <w:szCs w:val="28"/>
        </w:rPr>
        <w:t>Аукционы по продаже права аренды земельных участков для ИЖС в 2016 году не проводились.</w:t>
      </w:r>
    </w:p>
    <w:p w:rsidR="00272E27" w:rsidRPr="00272E27" w:rsidRDefault="00272E27" w:rsidP="00272E2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38"/>
        <w:gridCol w:w="1279"/>
        <w:gridCol w:w="1279"/>
        <w:gridCol w:w="1385"/>
        <w:gridCol w:w="1339"/>
        <w:gridCol w:w="1051"/>
      </w:tblGrid>
      <w:tr w:rsidR="00E00A16" w:rsidRPr="0095750C" w:rsidTr="002F0F91">
        <w:tc>
          <w:tcPr>
            <w:tcW w:w="3238" w:type="dxa"/>
          </w:tcPr>
          <w:p w:rsidR="00E00A16" w:rsidRPr="0095750C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</w:tcPr>
          <w:p w:rsidR="00E00A16" w:rsidRPr="0095750C" w:rsidRDefault="00E00A16" w:rsidP="008E52E0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8E52E0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9" w:type="dxa"/>
          </w:tcPr>
          <w:p w:rsidR="00E00A16" w:rsidRPr="0095750C" w:rsidRDefault="00E00A16" w:rsidP="008E52E0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8E52E0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5" w:type="dxa"/>
          </w:tcPr>
          <w:p w:rsidR="00E00A16" w:rsidRPr="0095750C" w:rsidRDefault="00E00A16" w:rsidP="008E52E0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8E52E0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9" w:type="dxa"/>
          </w:tcPr>
          <w:p w:rsidR="00E00A16" w:rsidRPr="0095750C" w:rsidRDefault="00E00A16" w:rsidP="008E52E0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8E52E0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1" w:type="dxa"/>
          </w:tcPr>
          <w:p w:rsidR="00E00A16" w:rsidRPr="0095750C" w:rsidRDefault="00E00A16" w:rsidP="008E52E0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8E52E0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Площадь земельных участков (</w:t>
            </w:r>
            <w:proofErr w:type="gramStart"/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Га</w:t>
            </w:r>
            <w:proofErr w:type="gramEnd"/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), предоставленных для</w:t>
            </w:r>
            <w:r w:rsidR="00491FC1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 xml:space="preserve"> </w:t>
            </w:r>
            <w:r w:rsidR="00891878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 xml:space="preserve">жилищного строительства, </w:t>
            </w:r>
            <w:r w:rsidR="00891878" w:rsidRPr="00891878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891878" w:rsidRPr="00891878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т.ч</w:t>
            </w:r>
            <w:proofErr w:type="spellEnd"/>
            <w:r w:rsidR="00891878" w:rsidRPr="00891878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10,54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3,03</w:t>
            </w:r>
          </w:p>
        </w:tc>
        <w:tc>
          <w:tcPr>
            <w:tcW w:w="1385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3,90</w:t>
            </w:r>
          </w:p>
        </w:tc>
        <w:tc>
          <w:tcPr>
            <w:tcW w:w="133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5,00</w:t>
            </w:r>
          </w:p>
        </w:tc>
        <w:tc>
          <w:tcPr>
            <w:tcW w:w="1051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5,00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891878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для ИЖС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3,45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0,06</w:t>
            </w:r>
          </w:p>
        </w:tc>
        <w:tc>
          <w:tcPr>
            <w:tcW w:w="1385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0,76</w:t>
            </w:r>
          </w:p>
        </w:tc>
        <w:tc>
          <w:tcPr>
            <w:tcW w:w="133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1,00</w:t>
            </w:r>
          </w:p>
        </w:tc>
        <w:tc>
          <w:tcPr>
            <w:tcW w:w="1051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1,00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комплексного освоения в целях жилищного строительства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3,37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385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33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51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0,00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строительства объектов, не являющихся объектами жилищного строительства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3,72</w:t>
            </w:r>
          </w:p>
        </w:tc>
        <w:tc>
          <w:tcPr>
            <w:tcW w:w="1279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2,97</w:t>
            </w:r>
          </w:p>
        </w:tc>
        <w:tc>
          <w:tcPr>
            <w:tcW w:w="1385" w:type="dxa"/>
          </w:tcPr>
          <w:p w:rsidR="00E00A16" w:rsidRPr="003657B6" w:rsidRDefault="008E52E0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3,14</w:t>
            </w:r>
          </w:p>
        </w:tc>
        <w:tc>
          <w:tcPr>
            <w:tcW w:w="1339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4</w:t>
            </w:r>
            <w:r w:rsidR="008E52E0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051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4</w:t>
            </w:r>
            <w:r w:rsidR="008E52E0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,00</w:t>
            </w:r>
          </w:p>
        </w:tc>
      </w:tr>
    </w:tbl>
    <w:p w:rsidR="006E030C" w:rsidRDefault="006E030C" w:rsidP="006E0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91878" w:rsidRDefault="00891878" w:rsidP="006C5F8A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</w:p>
    <w:p w:rsidR="00891878" w:rsidRDefault="00891878" w:rsidP="00891878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lastRenderedPageBreak/>
        <w:t>Комплексное освоение</w:t>
      </w:r>
      <w:r w:rsidRPr="00891878">
        <w:rPr>
          <w:rFonts w:ascii="Bookman Old Style" w:hAnsi="Bookman Old Style" w:cs="Bookman Old Style"/>
          <w:sz w:val="28"/>
          <w:szCs w:val="28"/>
        </w:rPr>
        <w:t xml:space="preserve"> в целях жилищного строительства</w:t>
      </w:r>
      <w:r>
        <w:rPr>
          <w:rFonts w:ascii="Bookman Old Style" w:hAnsi="Bookman Old Style" w:cs="Bookman Old Style"/>
          <w:sz w:val="28"/>
          <w:szCs w:val="28"/>
        </w:rPr>
        <w:t>, не производилось и не планируется.</w:t>
      </w:r>
    </w:p>
    <w:p w:rsidR="00891878" w:rsidRPr="00CE5452" w:rsidRDefault="00E00A16" w:rsidP="00891878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Р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>есурс земельных участков для жилищного строительства в городе Минусинске практически исчерпан. Предоставление земельных участков задерживается также из-за отсутствия инфраструктуры. В связи с этим дальнейший рост площади земельных участков, предоставляемых для  жилищного строительства, в 201</w:t>
      </w:r>
      <w:r w:rsidR="008E52E0">
        <w:rPr>
          <w:rFonts w:ascii="Bookman Old Style" w:hAnsi="Bookman Old Style" w:cs="Bookman Old Style"/>
          <w:sz w:val="28"/>
          <w:szCs w:val="28"/>
        </w:rPr>
        <w:t>8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>-201</w:t>
      </w:r>
      <w:r w:rsidR="008E52E0">
        <w:rPr>
          <w:rFonts w:ascii="Bookman Old Style" w:hAnsi="Bookman Old Style" w:cs="Bookman Old Style"/>
          <w:sz w:val="28"/>
          <w:szCs w:val="28"/>
        </w:rPr>
        <w:t>9</w:t>
      </w:r>
      <w:r w:rsidR="00CE5452">
        <w:rPr>
          <w:rFonts w:ascii="Bookman Old Style" w:hAnsi="Bookman Old Style" w:cs="Bookman Old Style"/>
          <w:sz w:val="28"/>
          <w:szCs w:val="28"/>
        </w:rPr>
        <w:t xml:space="preserve">годах 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>не прогнозируется.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с даты принятия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</w:p>
    <w:p w:rsidR="009064FA" w:rsidRPr="009064FA" w:rsidRDefault="009064FA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9064FA">
        <w:rPr>
          <w:rFonts w:ascii="Bookman Old Style" w:hAnsi="Bookman Old Style"/>
          <w:sz w:val="28"/>
          <w:szCs w:val="28"/>
        </w:rPr>
        <w:t>Земельны</w:t>
      </w:r>
      <w:r>
        <w:rPr>
          <w:rFonts w:ascii="Bookman Old Style" w:hAnsi="Bookman Old Style"/>
          <w:sz w:val="28"/>
          <w:szCs w:val="28"/>
        </w:rPr>
        <w:t>е</w:t>
      </w:r>
      <w:r w:rsidRPr="009064FA">
        <w:rPr>
          <w:rFonts w:ascii="Bookman Old Style" w:hAnsi="Bookman Old Style"/>
          <w:sz w:val="28"/>
          <w:szCs w:val="28"/>
        </w:rPr>
        <w:t xml:space="preserve"> участк</w:t>
      </w:r>
      <w:r>
        <w:rPr>
          <w:rFonts w:ascii="Bookman Old Style" w:hAnsi="Bookman Old Style"/>
          <w:sz w:val="28"/>
          <w:szCs w:val="28"/>
        </w:rPr>
        <w:t>и</w:t>
      </w:r>
      <w:r w:rsidRPr="009064FA">
        <w:rPr>
          <w:rFonts w:ascii="Bookman Old Style" w:hAnsi="Bookman Old Style"/>
          <w:sz w:val="28"/>
          <w:szCs w:val="28"/>
        </w:rPr>
        <w:t>, предоставленны</w:t>
      </w:r>
      <w:r>
        <w:rPr>
          <w:rFonts w:ascii="Bookman Old Style" w:hAnsi="Bookman Old Style"/>
          <w:sz w:val="28"/>
          <w:szCs w:val="28"/>
        </w:rPr>
        <w:t>е</w:t>
      </w:r>
      <w:r w:rsidRPr="009064FA">
        <w:rPr>
          <w:rFonts w:ascii="Bookman Old Style" w:hAnsi="Bookman Old Style"/>
          <w:sz w:val="28"/>
          <w:szCs w:val="28"/>
        </w:rPr>
        <w:t xml:space="preserve"> для строительства, в отношении которых </w:t>
      </w:r>
      <w:proofErr w:type="gramStart"/>
      <w:r w:rsidRPr="009064FA">
        <w:rPr>
          <w:rFonts w:ascii="Bookman Old Style" w:hAnsi="Bookman Old Style"/>
          <w:sz w:val="28"/>
          <w:szCs w:val="28"/>
        </w:rPr>
        <w:t>с даты принятия</w:t>
      </w:r>
      <w:proofErr w:type="gramEnd"/>
      <w:r w:rsidRPr="009064FA">
        <w:rPr>
          <w:rFonts w:ascii="Bookman Old Style" w:hAnsi="Bookman Old Style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>
        <w:rPr>
          <w:rFonts w:ascii="Bookman Old Style" w:hAnsi="Bookman Old Style"/>
          <w:sz w:val="28"/>
          <w:szCs w:val="28"/>
        </w:rPr>
        <w:t xml:space="preserve"> в  городе Минусинске отсутствуют.</w:t>
      </w:r>
    </w:p>
    <w:p w:rsidR="00DC7EE7" w:rsidRPr="004D4EE1" w:rsidRDefault="00DC7EE7" w:rsidP="006C5F8A">
      <w:pPr>
        <w:pStyle w:val="a3"/>
        <w:numPr>
          <w:ilvl w:val="0"/>
          <w:numId w:val="1"/>
        </w:numPr>
        <w:ind w:firstLine="65"/>
        <w:jc w:val="both"/>
        <w:rPr>
          <w:rFonts w:ascii="Bookman Old Style" w:hAnsi="Bookman Old Style"/>
          <w:b/>
          <w:sz w:val="28"/>
          <w:szCs w:val="28"/>
        </w:rPr>
      </w:pPr>
      <w:r w:rsidRPr="004D4EE1">
        <w:rPr>
          <w:rFonts w:ascii="Bookman Old Style" w:hAnsi="Bookman Old Style"/>
          <w:b/>
          <w:sz w:val="28"/>
          <w:szCs w:val="28"/>
        </w:rPr>
        <w:t>Жилищно-коммунальное хозяйство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</w:t>
      </w:r>
    </w:p>
    <w:p w:rsidR="0004395B" w:rsidRPr="0004395B" w:rsidRDefault="0004395B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>
        <w:rPr>
          <w:rFonts w:ascii="Bookman Old Style" w:hAnsi="Bookman Old Style"/>
          <w:sz w:val="28"/>
          <w:szCs w:val="28"/>
        </w:rPr>
        <w:t>выбрали и реализуют один из способов управления многоквартирными домами в городе Минусинске начиная</w:t>
      </w:r>
      <w:proofErr w:type="gramEnd"/>
      <w:r>
        <w:rPr>
          <w:rFonts w:ascii="Bookman Old Style" w:hAnsi="Bookman Old Style"/>
          <w:sz w:val="28"/>
          <w:szCs w:val="28"/>
        </w:rPr>
        <w:t xml:space="preserve"> с 2010 года составляет 100 процентов.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о-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</w:t>
      </w:r>
      <w:r w:rsidRPr="00D64E25">
        <w:rPr>
          <w:rFonts w:ascii="Bookman Old Style" w:hAnsi="Bookman Old Style"/>
          <w:b/>
          <w:sz w:val="28"/>
          <w:szCs w:val="28"/>
        </w:rPr>
        <w:lastRenderedPageBreak/>
        <w:t xml:space="preserve">которых составляет не более 25 процентов, в общем числе организаций коммунального комплекса, 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осуществляющих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A02597" w:rsidRPr="00A02597" w:rsidRDefault="007C25A7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7415CD">
        <w:rPr>
          <w:rFonts w:ascii="Bookman Old Style" w:hAnsi="Bookman Old Style"/>
          <w:sz w:val="28"/>
          <w:szCs w:val="28"/>
        </w:rPr>
        <w:t>Доля организаций коммунального комплекса по итогам 201</w:t>
      </w:r>
      <w:r w:rsidR="007415CD">
        <w:rPr>
          <w:rFonts w:ascii="Bookman Old Style" w:hAnsi="Bookman Old Style"/>
          <w:sz w:val="28"/>
          <w:szCs w:val="28"/>
        </w:rPr>
        <w:t>6</w:t>
      </w:r>
      <w:r w:rsidRPr="007415CD">
        <w:rPr>
          <w:rFonts w:ascii="Bookman Old Style" w:hAnsi="Bookman Old Style"/>
          <w:sz w:val="28"/>
          <w:szCs w:val="28"/>
        </w:rPr>
        <w:t xml:space="preserve"> года составляет </w:t>
      </w:r>
      <w:r w:rsidR="0079033B" w:rsidRPr="007415CD">
        <w:rPr>
          <w:rFonts w:ascii="Bookman Old Style" w:hAnsi="Bookman Old Style"/>
          <w:sz w:val="28"/>
          <w:szCs w:val="28"/>
        </w:rPr>
        <w:t>71,43</w:t>
      </w:r>
      <w:r w:rsidRPr="007415CD">
        <w:rPr>
          <w:rFonts w:ascii="Bookman Old Style" w:hAnsi="Bookman Old Style"/>
          <w:sz w:val="28"/>
          <w:szCs w:val="28"/>
        </w:rPr>
        <w:t xml:space="preserve"> %. Общее число организаций в городе Минусинске составляет 10, из которых 8 частные и 2 муниципальных унитарных предприятия</w:t>
      </w:r>
      <w:r w:rsidR="00A02597" w:rsidRPr="007415CD">
        <w:rPr>
          <w:rFonts w:ascii="Bookman Old Style" w:hAnsi="Bookman Old Style"/>
          <w:sz w:val="28"/>
          <w:szCs w:val="28"/>
        </w:rPr>
        <w:t>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3F2813" w:rsidRPr="004C5E23" w:rsidRDefault="004C5E23" w:rsidP="003F28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4C5E23">
        <w:rPr>
          <w:rFonts w:ascii="Bookman Old Style" w:hAnsi="Bookman Old Style"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</w:r>
      <w:r>
        <w:rPr>
          <w:rFonts w:ascii="Bookman Old Style" w:hAnsi="Bookman Old Style"/>
          <w:sz w:val="28"/>
          <w:szCs w:val="28"/>
        </w:rPr>
        <w:t>за 201</w:t>
      </w:r>
      <w:r w:rsidR="008E52E0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год </w:t>
      </w:r>
      <w:r w:rsidRPr="004C5E23">
        <w:rPr>
          <w:rFonts w:ascii="Bookman Old Style" w:hAnsi="Bookman Old Style"/>
          <w:sz w:val="28"/>
          <w:szCs w:val="28"/>
        </w:rPr>
        <w:t>составляет</w:t>
      </w:r>
      <w:r w:rsidR="003F2813">
        <w:rPr>
          <w:rFonts w:ascii="Bookman Old Style" w:hAnsi="Bookman Old Style"/>
          <w:sz w:val="28"/>
          <w:szCs w:val="28"/>
        </w:rPr>
        <w:t>100%, т.е. все многоквартирные дома, с учетом двухквартирных будет осуществлен государственный кадастровый учет.</w:t>
      </w:r>
    </w:p>
    <w:p w:rsidR="003F2813" w:rsidRDefault="003F2813" w:rsidP="003F2813">
      <w:pPr>
        <w:widowControl w:val="0"/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плановом периоде данный показатель</w:t>
      </w:r>
      <w:r w:rsidR="004C5E23">
        <w:rPr>
          <w:rFonts w:ascii="Bookman Old Style" w:hAnsi="Bookman Old Style"/>
          <w:sz w:val="28"/>
          <w:szCs w:val="28"/>
        </w:rPr>
        <w:t xml:space="preserve"> планируется </w:t>
      </w:r>
      <w:r>
        <w:rPr>
          <w:rFonts w:ascii="Bookman Old Style" w:hAnsi="Bookman Old Style"/>
          <w:sz w:val="28"/>
          <w:szCs w:val="28"/>
        </w:rPr>
        <w:t>сохранить на уровне 100 %.</w:t>
      </w:r>
    </w:p>
    <w:p w:rsidR="00DC7EE7" w:rsidRPr="00A92592" w:rsidRDefault="00DC7EE7" w:rsidP="008D105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709" w:firstLine="86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A92592">
        <w:rPr>
          <w:rFonts w:ascii="Bookman Old Style" w:hAnsi="Bookman Old Style"/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296160" w:rsidRPr="00F96934" w:rsidRDefault="00296160" w:rsidP="00296160">
      <w:pPr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F96934">
        <w:rPr>
          <w:rFonts w:ascii="Bookman Old Style" w:hAnsi="Bookman Old Style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имеет тенденцию к снижению. </w:t>
      </w:r>
      <w:proofErr w:type="gramEnd"/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2"/>
        <w:gridCol w:w="1279"/>
        <w:gridCol w:w="1135"/>
        <w:gridCol w:w="1135"/>
        <w:gridCol w:w="1135"/>
      </w:tblGrid>
      <w:tr w:rsidR="00296160" w:rsidRPr="00F96934" w:rsidTr="00302FC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F96934" w:rsidRDefault="00296160" w:rsidP="00302FCB">
            <w:pPr>
              <w:spacing w:after="0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2019</w:t>
            </w:r>
          </w:p>
        </w:tc>
      </w:tr>
      <w:tr w:rsidR="00296160" w:rsidRPr="00F96934" w:rsidTr="00302FC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F9693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0,76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C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91393C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91393C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96160" w:rsidRPr="00F96934" w:rsidRDefault="0091393C" w:rsidP="00F96934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0,6</w:t>
            </w:r>
          </w:p>
          <w:p w:rsidR="0091393C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96160" w:rsidRPr="00F96934" w:rsidTr="00302FC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F96934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по </w:t>
            </w:r>
            <w:r w:rsidRPr="00F96934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договору социального найма</w:t>
            </w: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</w:tr>
      <w:tr w:rsidR="00296160" w:rsidRPr="00F96934" w:rsidTr="00302FC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296160" w:rsidP="00302FCB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численность населения (семей), </w:t>
            </w:r>
            <w:r w:rsidRPr="00F9693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состоящего на учете в качестве нуждающегося в жилых помещениях </w:t>
            </w:r>
            <w:r w:rsidRPr="00F96934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по договорам социального найма</w:t>
            </w:r>
            <w:r w:rsidRPr="00F9693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на конец прошлого года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654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F96934" w:rsidRDefault="0091393C" w:rsidP="00302FCB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96934">
              <w:rPr>
                <w:rFonts w:ascii="Bookman Old Style" w:eastAsia="Calibri" w:hAnsi="Bookman Old Style" w:cs="Times New Roman"/>
                <w:sz w:val="24"/>
                <w:szCs w:val="24"/>
              </w:rPr>
              <w:t>665</w:t>
            </w:r>
          </w:p>
        </w:tc>
      </w:tr>
    </w:tbl>
    <w:p w:rsidR="00296160" w:rsidRPr="00F96934" w:rsidRDefault="00296160" w:rsidP="00296160">
      <w:pPr>
        <w:pStyle w:val="a3"/>
        <w:spacing w:after="0"/>
        <w:ind w:left="765"/>
        <w:jc w:val="both"/>
        <w:rPr>
          <w:rFonts w:ascii="Bookman Old Style" w:hAnsi="Bookman Old Style"/>
          <w:sz w:val="12"/>
          <w:szCs w:val="12"/>
        </w:rPr>
      </w:pPr>
    </w:p>
    <w:p w:rsidR="00681364" w:rsidRPr="00F96934" w:rsidRDefault="00681364" w:rsidP="00681364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 xml:space="preserve">В 2016 году этот показатель снизился за счет того, что по сравнению с 2015 году снизилось количество  предоставленных квартир </w:t>
      </w:r>
      <w:proofErr w:type="gramStart"/>
      <w:r w:rsidRPr="00F96934">
        <w:rPr>
          <w:rFonts w:ascii="Bookman Old Style" w:hAnsi="Bookman Old Style"/>
          <w:sz w:val="28"/>
          <w:szCs w:val="28"/>
        </w:rPr>
        <w:t>гражданам, состоящим на учете в качестве нуждающихся в жилых помещениях и снизилось</w:t>
      </w:r>
      <w:proofErr w:type="gramEnd"/>
      <w:r w:rsidRPr="00F96934">
        <w:rPr>
          <w:rFonts w:ascii="Bookman Old Style" w:hAnsi="Bookman Old Style"/>
          <w:sz w:val="28"/>
          <w:szCs w:val="28"/>
        </w:rPr>
        <w:t xml:space="preserve"> количество граждан состоящих на учете. Доля очередников снижается в основном только за счет приобретения в собственность жилья ветеранам Великой Отечественной войны в соответствии с Федеральным законом от 18.02.2010 № 10-4386 «О порядке обеспечения жильем вКрасноярском крае ветеранов Великой Отечественной войны 1941-1945 годов» и снятия их с учета. Кроме этого, снижается количество состоящих на учете граждан в связи с переселением из аварийного жилья по муниципальной адресной программе «Переселение граждан из аварийного жилищного фонда с учетом необходимости развития малоэтажного строительства в муниципальном образовании город Минусинск». Количество состоящих на учете граждан снижается также по причине естественной убыли населения (смерти).</w:t>
      </w:r>
    </w:p>
    <w:p w:rsidR="00296160" w:rsidRPr="00F96934" w:rsidRDefault="00296160" w:rsidP="0029616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Такая тенденция сохранится и на 201</w:t>
      </w:r>
      <w:r w:rsidR="0091393C" w:rsidRPr="00F96934">
        <w:rPr>
          <w:rFonts w:ascii="Bookman Old Style" w:hAnsi="Bookman Old Style"/>
          <w:sz w:val="28"/>
          <w:szCs w:val="28"/>
        </w:rPr>
        <w:t>7</w:t>
      </w:r>
      <w:r w:rsidRPr="00F96934">
        <w:rPr>
          <w:rFonts w:ascii="Bookman Old Style" w:hAnsi="Bookman Old Style"/>
          <w:sz w:val="28"/>
          <w:szCs w:val="28"/>
        </w:rPr>
        <w:t>, 201</w:t>
      </w:r>
      <w:r w:rsidR="0091393C" w:rsidRPr="00F96934">
        <w:rPr>
          <w:rFonts w:ascii="Bookman Old Style" w:hAnsi="Bookman Old Style"/>
          <w:sz w:val="28"/>
          <w:szCs w:val="28"/>
        </w:rPr>
        <w:t>8</w:t>
      </w:r>
      <w:r w:rsidRPr="00F96934">
        <w:rPr>
          <w:rFonts w:ascii="Bookman Old Style" w:hAnsi="Bookman Old Style"/>
          <w:sz w:val="28"/>
          <w:szCs w:val="28"/>
        </w:rPr>
        <w:t>, 201</w:t>
      </w:r>
      <w:r w:rsidR="0091393C" w:rsidRPr="00F96934">
        <w:rPr>
          <w:rFonts w:ascii="Bookman Old Style" w:hAnsi="Bookman Old Style"/>
          <w:sz w:val="28"/>
          <w:szCs w:val="28"/>
        </w:rPr>
        <w:t>9</w:t>
      </w:r>
      <w:r w:rsidRPr="00F96934">
        <w:rPr>
          <w:rFonts w:ascii="Bookman Old Style" w:hAnsi="Bookman Old Style"/>
          <w:sz w:val="28"/>
          <w:szCs w:val="28"/>
        </w:rPr>
        <w:t xml:space="preserve">гг. в связи с тем, что уменьшится предоставление жилья ветеранам из числа состоящих на учете (количество ветеранов, состоящих на учете, уменьшается по причине их смерти и в связи с тем, что большая часть </w:t>
      </w:r>
      <w:proofErr w:type="gramStart"/>
      <w:r w:rsidRPr="00F96934">
        <w:rPr>
          <w:rFonts w:ascii="Bookman Old Style" w:hAnsi="Bookman Old Style"/>
          <w:sz w:val="28"/>
          <w:szCs w:val="28"/>
        </w:rPr>
        <w:t>из</w:t>
      </w:r>
      <w:proofErr w:type="gramEnd"/>
      <w:r w:rsidRPr="00F96934">
        <w:rPr>
          <w:rFonts w:ascii="Bookman Old Style" w:hAnsi="Bookman Old Style"/>
          <w:sz w:val="28"/>
          <w:szCs w:val="28"/>
        </w:rPr>
        <w:t xml:space="preserve"> нуждающихся уже обеспечена жильем).  Предоставление жилья по программе переселения из аварийного жилья в прогнозируемый период не предусматривается. </w:t>
      </w:r>
    </w:p>
    <w:p w:rsidR="00296160" w:rsidRDefault="00296160" w:rsidP="00296160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 xml:space="preserve">Основной проблемой является старение муниципального жилищного фонда, невозможность в связи с </w:t>
      </w:r>
      <w:proofErr w:type="spellStart"/>
      <w:r w:rsidRPr="00F96934">
        <w:rPr>
          <w:rFonts w:ascii="Bookman Old Style" w:hAnsi="Bookman Old Style"/>
          <w:sz w:val="28"/>
          <w:szCs w:val="28"/>
        </w:rPr>
        <w:t>дотационностью</w:t>
      </w:r>
      <w:proofErr w:type="spellEnd"/>
      <w:r w:rsidRPr="00F96934">
        <w:rPr>
          <w:rFonts w:ascii="Bookman Old Style" w:hAnsi="Bookman Old Style"/>
          <w:sz w:val="28"/>
          <w:szCs w:val="28"/>
        </w:rPr>
        <w:t xml:space="preserve"> бюджета произвести его полномасштабный капитальный ремонт, и тот факт, что для состоящих на учете граждан не планируется строительство нового жилья.</w:t>
      </w:r>
    </w:p>
    <w:p w:rsidR="00DC7EE7" w:rsidRPr="004D4EE1" w:rsidRDefault="004D4EE1" w:rsidP="006C5F8A">
      <w:p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IIX</w:t>
      </w:r>
      <w:r w:rsidRPr="004D4EE1">
        <w:rPr>
          <w:rFonts w:ascii="Bookman Old Style" w:hAnsi="Bookman Old Style"/>
          <w:b/>
          <w:sz w:val="28"/>
          <w:szCs w:val="28"/>
        </w:rPr>
        <w:t xml:space="preserve">. </w:t>
      </w:r>
      <w:r w:rsidR="00DC7EE7" w:rsidRPr="004D4EE1">
        <w:rPr>
          <w:rFonts w:ascii="Bookman Old Style" w:hAnsi="Bookman Old Style"/>
          <w:b/>
          <w:sz w:val="28"/>
          <w:szCs w:val="28"/>
        </w:rPr>
        <w:t>Организация муниципального управления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7E29FB" w:rsidRDefault="006D7C4E" w:rsidP="006D7C4E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6D7C4E">
        <w:rPr>
          <w:rFonts w:ascii="Bookman Old Style" w:hAnsi="Bookman Old Style"/>
          <w:sz w:val="28"/>
          <w:szCs w:val="28"/>
        </w:rPr>
        <w:t>Доля налоговых и неналоговых доходов в общем объеме собственных доходов в 201</w:t>
      </w:r>
      <w:r w:rsidR="00DA2E45">
        <w:rPr>
          <w:rFonts w:ascii="Bookman Old Style" w:hAnsi="Bookman Old Style"/>
          <w:sz w:val="28"/>
          <w:szCs w:val="28"/>
        </w:rPr>
        <w:t>6</w:t>
      </w:r>
      <w:r w:rsidRPr="006D7C4E">
        <w:rPr>
          <w:rFonts w:ascii="Bookman Old Style" w:hAnsi="Bookman Old Style"/>
          <w:sz w:val="28"/>
          <w:szCs w:val="28"/>
        </w:rPr>
        <w:t xml:space="preserve"> году </w:t>
      </w:r>
      <w:r w:rsidR="00DA2E45">
        <w:rPr>
          <w:rFonts w:ascii="Bookman Old Style" w:hAnsi="Bookman Old Style"/>
          <w:sz w:val="28"/>
          <w:szCs w:val="28"/>
        </w:rPr>
        <w:t>увеличилась</w:t>
      </w:r>
      <w:r w:rsidR="007E29FB">
        <w:rPr>
          <w:rFonts w:ascii="Bookman Old Style" w:hAnsi="Bookman Old Style"/>
          <w:sz w:val="28"/>
          <w:szCs w:val="28"/>
        </w:rPr>
        <w:t xml:space="preserve"> в сравнении с 201</w:t>
      </w:r>
      <w:r w:rsidR="00DA2E45">
        <w:rPr>
          <w:rFonts w:ascii="Bookman Old Style" w:hAnsi="Bookman Old Style"/>
          <w:sz w:val="28"/>
          <w:szCs w:val="28"/>
        </w:rPr>
        <w:t>5</w:t>
      </w:r>
      <w:r w:rsidR="007E29FB">
        <w:rPr>
          <w:rFonts w:ascii="Bookman Old Style" w:hAnsi="Bookman Old Style"/>
          <w:sz w:val="28"/>
          <w:szCs w:val="28"/>
        </w:rPr>
        <w:t xml:space="preserve"> годом с </w:t>
      </w:r>
      <w:r w:rsidR="00DA2E45">
        <w:rPr>
          <w:rFonts w:ascii="Bookman Old Style" w:hAnsi="Bookman Old Style"/>
          <w:sz w:val="28"/>
          <w:szCs w:val="28"/>
        </w:rPr>
        <w:t>32,33</w:t>
      </w:r>
      <w:r w:rsidR="007E29FB">
        <w:rPr>
          <w:rFonts w:ascii="Bookman Old Style" w:hAnsi="Bookman Old Style"/>
          <w:sz w:val="28"/>
          <w:szCs w:val="28"/>
        </w:rPr>
        <w:t xml:space="preserve"> процентов до </w:t>
      </w:r>
      <w:r w:rsidR="00DA2E45">
        <w:rPr>
          <w:rFonts w:ascii="Bookman Old Style" w:hAnsi="Bookman Old Style"/>
          <w:sz w:val="28"/>
          <w:szCs w:val="28"/>
        </w:rPr>
        <w:t>43,39</w:t>
      </w:r>
      <w:r w:rsidR="007E29FB">
        <w:rPr>
          <w:rFonts w:ascii="Bookman Old Style" w:hAnsi="Bookman Old Style"/>
          <w:sz w:val="28"/>
          <w:szCs w:val="28"/>
        </w:rPr>
        <w:t xml:space="preserve"> процентов. </w:t>
      </w:r>
      <w:r w:rsidR="00DA2E45">
        <w:rPr>
          <w:rFonts w:ascii="Bookman Old Style" w:hAnsi="Bookman Old Style"/>
          <w:sz w:val="28"/>
          <w:szCs w:val="28"/>
        </w:rPr>
        <w:t>Увеличение</w:t>
      </w:r>
      <w:r w:rsidR="007E29FB">
        <w:rPr>
          <w:rFonts w:ascii="Bookman Old Style" w:hAnsi="Bookman Old Style"/>
          <w:sz w:val="28"/>
          <w:szCs w:val="28"/>
        </w:rPr>
        <w:t xml:space="preserve"> произошло, за счет </w:t>
      </w:r>
      <w:r w:rsidR="00DA2E45">
        <w:rPr>
          <w:rFonts w:ascii="Bookman Old Style" w:hAnsi="Bookman Old Style"/>
          <w:sz w:val="28"/>
          <w:szCs w:val="28"/>
        </w:rPr>
        <w:t>увеличения субсидий и субвенций из средств федерального и краевого бюджетов</w:t>
      </w:r>
      <w:r w:rsidR="007E29FB">
        <w:rPr>
          <w:rFonts w:ascii="Bookman Old Style" w:hAnsi="Bookman Old Style"/>
          <w:sz w:val="28"/>
          <w:szCs w:val="28"/>
        </w:rPr>
        <w:t>.</w:t>
      </w:r>
    </w:p>
    <w:p w:rsidR="006D7C4E" w:rsidRPr="006D7C4E" w:rsidRDefault="007E29FB" w:rsidP="007E29FB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201</w:t>
      </w:r>
      <w:r w:rsidR="00DA2E45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>-201</w:t>
      </w:r>
      <w:r w:rsidR="00DA2E45"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 xml:space="preserve"> годы рост доли налоговых и неналоговых доходов городского бюджета планируется только за счет того, что сумма субсидии из краевого бюджета фактически в течение года уточняется в сторону увеличения, поэтому доля налоговых и неналоговых доходов по факту будет снижаться.     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463822" w:rsidRPr="00463822" w:rsidRDefault="00463822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Организаций муниципальной формы собственности, находящихся в стадии банкротства в городском округе – город Минусинск нет.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463822" w:rsidRDefault="00463822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завершенного в установленные сроки строительства, осуществляемого за счет средств бюджета городского округа – город Минусинск за 201</w:t>
      </w:r>
      <w:r w:rsidR="007B7A38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год нет.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</w:r>
    </w:p>
    <w:p w:rsidR="00463822" w:rsidRDefault="00463822" w:rsidP="006C5F8A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463822">
        <w:rPr>
          <w:rFonts w:ascii="Bookman Old Style" w:hAnsi="Bookman Old Style"/>
          <w:sz w:val="28"/>
          <w:szCs w:val="28"/>
        </w:rPr>
        <w:lastRenderedPageBreak/>
        <w:t xml:space="preserve">Просроченной кредиторской задолженности </w:t>
      </w:r>
      <w:r>
        <w:rPr>
          <w:rFonts w:ascii="Bookman Old Style" w:hAnsi="Bookman Old Style"/>
          <w:sz w:val="28"/>
          <w:szCs w:val="28"/>
        </w:rPr>
        <w:t>по оплате труда (включая начисление на оплату труда) муниципальных бюджетных учреждений нет.</w:t>
      </w:r>
    </w:p>
    <w:p w:rsidR="00463822" w:rsidRPr="00463822" w:rsidRDefault="00463822" w:rsidP="00463822">
      <w:pPr>
        <w:pStyle w:val="a3"/>
        <w:ind w:left="0" w:firstLine="1211"/>
        <w:jc w:val="both"/>
        <w:rPr>
          <w:rFonts w:ascii="Bookman Old Style" w:hAnsi="Bookman Old Style"/>
          <w:sz w:val="12"/>
          <w:szCs w:val="12"/>
        </w:rPr>
      </w:pP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463822" w:rsidRDefault="00463822" w:rsidP="007322AD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Расходы бюджета на содержание работников органов местного самоуправления в расчете на одного жителя </w:t>
      </w:r>
      <w:r w:rsidR="007322AD">
        <w:rPr>
          <w:rFonts w:ascii="Bookman Old Style" w:hAnsi="Bookman Old Style"/>
          <w:sz w:val="28"/>
          <w:szCs w:val="28"/>
        </w:rPr>
        <w:t>по сравнению с 201</w:t>
      </w:r>
      <w:r w:rsidR="007B7A38">
        <w:rPr>
          <w:rFonts w:ascii="Bookman Old Style" w:hAnsi="Bookman Old Style"/>
          <w:sz w:val="28"/>
          <w:szCs w:val="28"/>
        </w:rPr>
        <w:t>5</w:t>
      </w:r>
      <w:r w:rsidR="008D1053">
        <w:rPr>
          <w:rFonts w:ascii="Bookman Old Style" w:hAnsi="Bookman Old Style"/>
          <w:sz w:val="28"/>
          <w:szCs w:val="28"/>
        </w:rPr>
        <w:t xml:space="preserve"> </w:t>
      </w:r>
      <w:r w:rsidR="007322AD">
        <w:rPr>
          <w:rFonts w:ascii="Bookman Old Style" w:hAnsi="Bookman Old Style"/>
          <w:sz w:val="28"/>
          <w:szCs w:val="28"/>
        </w:rPr>
        <w:t>год</w:t>
      </w:r>
      <w:r w:rsidR="004D1573">
        <w:rPr>
          <w:rFonts w:ascii="Bookman Old Style" w:hAnsi="Bookman Old Style"/>
          <w:sz w:val="28"/>
          <w:szCs w:val="28"/>
        </w:rPr>
        <w:t>ом</w:t>
      </w:r>
      <w:r w:rsidR="008D105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</w:t>
      </w:r>
      <w:r w:rsidR="007322AD">
        <w:rPr>
          <w:rFonts w:ascii="Bookman Old Style" w:hAnsi="Bookman Old Style"/>
          <w:sz w:val="28"/>
          <w:szCs w:val="28"/>
        </w:rPr>
        <w:t xml:space="preserve"> 201</w:t>
      </w:r>
      <w:r w:rsidR="007B7A38">
        <w:rPr>
          <w:rFonts w:ascii="Bookman Old Style" w:hAnsi="Bookman Old Style"/>
          <w:sz w:val="28"/>
          <w:szCs w:val="28"/>
        </w:rPr>
        <w:t>6</w:t>
      </w:r>
      <w:r w:rsidR="007322AD">
        <w:rPr>
          <w:rFonts w:ascii="Bookman Old Style" w:hAnsi="Bookman Old Style"/>
          <w:sz w:val="28"/>
          <w:szCs w:val="28"/>
        </w:rPr>
        <w:t xml:space="preserve"> году </w:t>
      </w:r>
      <w:r w:rsidR="004D1573">
        <w:rPr>
          <w:rFonts w:ascii="Bookman Old Style" w:hAnsi="Bookman Old Style"/>
          <w:sz w:val="28"/>
          <w:szCs w:val="28"/>
        </w:rPr>
        <w:t>увеличилась</w:t>
      </w:r>
      <w:r w:rsidR="007322AD">
        <w:rPr>
          <w:rFonts w:ascii="Bookman Old Style" w:hAnsi="Bookman Old Style"/>
          <w:sz w:val="28"/>
          <w:szCs w:val="28"/>
        </w:rPr>
        <w:t xml:space="preserve"> на </w:t>
      </w:r>
      <w:r w:rsidR="007B7A38">
        <w:rPr>
          <w:rFonts w:ascii="Bookman Old Style" w:hAnsi="Bookman Old Style"/>
          <w:sz w:val="28"/>
          <w:szCs w:val="28"/>
        </w:rPr>
        <w:t>1,6</w:t>
      </w:r>
      <w:r w:rsidR="007322AD">
        <w:rPr>
          <w:rFonts w:ascii="Bookman Old Style" w:hAnsi="Bookman Old Style"/>
          <w:sz w:val="28"/>
          <w:szCs w:val="28"/>
        </w:rPr>
        <w:t xml:space="preserve"> процента, за счет </w:t>
      </w:r>
      <w:r w:rsidR="007B7A38" w:rsidRPr="007B7A38">
        <w:rPr>
          <w:rFonts w:ascii="Bookman Old Style" w:hAnsi="Bookman Old Style"/>
          <w:sz w:val="28"/>
          <w:szCs w:val="28"/>
        </w:rPr>
        <w:t>мероприяти</w:t>
      </w:r>
      <w:r w:rsidR="007B7A38">
        <w:rPr>
          <w:rFonts w:ascii="Bookman Old Style" w:hAnsi="Bookman Old Style"/>
          <w:sz w:val="28"/>
          <w:szCs w:val="28"/>
        </w:rPr>
        <w:t>й</w:t>
      </w:r>
      <w:r w:rsidR="007B7A38" w:rsidRPr="007B7A38">
        <w:rPr>
          <w:rFonts w:ascii="Bookman Old Style" w:hAnsi="Bookman Old Style"/>
          <w:sz w:val="28"/>
          <w:szCs w:val="28"/>
        </w:rPr>
        <w:t xml:space="preserve"> по оптимизации структуры администрации города Минусинска, в целях приведения фонд</w:t>
      </w:r>
      <w:r w:rsidR="007B7A38">
        <w:rPr>
          <w:rFonts w:ascii="Bookman Old Style" w:hAnsi="Bookman Old Style"/>
          <w:sz w:val="28"/>
          <w:szCs w:val="28"/>
        </w:rPr>
        <w:t>а</w:t>
      </w:r>
      <w:r w:rsidR="007B7A38" w:rsidRPr="007B7A38">
        <w:rPr>
          <w:rFonts w:ascii="Bookman Old Style" w:hAnsi="Bookman Old Style"/>
          <w:sz w:val="28"/>
          <w:szCs w:val="28"/>
        </w:rPr>
        <w:t xml:space="preserve"> оплаты труда в соответствие с постановлением Совета администрации Красноярского края.</w:t>
      </w:r>
      <w:r w:rsidR="007322AD">
        <w:rPr>
          <w:rFonts w:ascii="Bookman Old Style" w:hAnsi="Bookman Old Style"/>
          <w:sz w:val="28"/>
          <w:szCs w:val="28"/>
        </w:rPr>
        <w:t xml:space="preserve"> В плановом периоде расходы бюджета на содержание работников органов местного самоуправления в расчете на одного жителя </w:t>
      </w:r>
      <w:r>
        <w:rPr>
          <w:rFonts w:ascii="Bookman Old Style" w:hAnsi="Bookman Old Style"/>
          <w:sz w:val="28"/>
          <w:szCs w:val="28"/>
        </w:rPr>
        <w:t xml:space="preserve">незначительно </w:t>
      </w:r>
      <w:r w:rsidR="007B7A38">
        <w:rPr>
          <w:rFonts w:ascii="Bookman Old Style" w:hAnsi="Bookman Old Style"/>
          <w:sz w:val="28"/>
          <w:szCs w:val="28"/>
        </w:rPr>
        <w:t>сокращаются за счет увеличения среднегодовой численности постоянного населения</w:t>
      </w:r>
      <w:r>
        <w:rPr>
          <w:rFonts w:ascii="Bookman Old Style" w:hAnsi="Bookman Old Style"/>
          <w:sz w:val="28"/>
          <w:szCs w:val="28"/>
        </w:rPr>
        <w:t>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463822" w:rsidRPr="00463822" w:rsidRDefault="00463822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463822">
        <w:rPr>
          <w:rFonts w:ascii="Bookman Old Style" w:hAnsi="Bookman Old Style"/>
          <w:sz w:val="28"/>
          <w:szCs w:val="28"/>
        </w:rPr>
        <w:t>В 2011 году утвержден генеральный план муниципального образования городской округ – город Минусинск.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района)</w:t>
      </w:r>
    </w:p>
    <w:p w:rsidR="00463822" w:rsidRPr="00463822" w:rsidRDefault="00F115A2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</w:t>
      </w:r>
      <w:r w:rsidR="00463822">
        <w:rPr>
          <w:rFonts w:ascii="Bookman Old Style" w:hAnsi="Bookman Old Style"/>
          <w:sz w:val="28"/>
          <w:szCs w:val="28"/>
        </w:rPr>
        <w:t xml:space="preserve"> 201</w:t>
      </w:r>
      <w:r w:rsidR="007B7A38">
        <w:rPr>
          <w:rFonts w:ascii="Bookman Old Style" w:hAnsi="Bookman Old Style"/>
          <w:sz w:val="28"/>
          <w:szCs w:val="28"/>
        </w:rPr>
        <w:t>6</w:t>
      </w:r>
      <w:r w:rsidR="00463822">
        <w:rPr>
          <w:rFonts w:ascii="Bookman Old Style" w:hAnsi="Bookman Old Style"/>
          <w:sz w:val="28"/>
          <w:szCs w:val="28"/>
        </w:rPr>
        <w:t xml:space="preserve"> год </w:t>
      </w:r>
      <w:r>
        <w:rPr>
          <w:rFonts w:ascii="Bookman Old Style" w:hAnsi="Bookman Old Style"/>
          <w:sz w:val="28"/>
          <w:szCs w:val="28"/>
        </w:rPr>
        <w:t>уровень</w:t>
      </w:r>
      <w:r w:rsidR="00463822">
        <w:rPr>
          <w:rFonts w:ascii="Bookman Old Style" w:hAnsi="Bookman Old Style"/>
          <w:sz w:val="28"/>
          <w:szCs w:val="28"/>
        </w:rPr>
        <w:t xml:space="preserve"> удовлетворённости деятельностью органов местного самоуправления городского округа </w:t>
      </w:r>
      <w:r>
        <w:rPr>
          <w:rFonts w:ascii="Bookman Old Style" w:hAnsi="Bookman Old Style"/>
          <w:sz w:val="28"/>
          <w:szCs w:val="28"/>
        </w:rPr>
        <w:t xml:space="preserve">составил </w:t>
      </w:r>
      <w:r w:rsidR="007B7A38">
        <w:rPr>
          <w:rFonts w:ascii="Bookman Old Style" w:hAnsi="Bookman Old Style"/>
          <w:sz w:val="28"/>
          <w:szCs w:val="28"/>
        </w:rPr>
        <w:t>22,9</w:t>
      </w:r>
      <w:r>
        <w:rPr>
          <w:rFonts w:ascii="Bookman Old Style" w:hAnsi="Bookman Old Style"/>
          <w:sz w:val="28"/>
          <w:szCs w:val="28"/>
        </w:rPr>
        <w:t xml:space="preserve"> %</w:t>
      </w:r>
      <w:r w:rsidR="00463822">
        <w:rPr>
          <w:rFonts w:ascii="Bookman Old Style" w:hAnsi="Bookman Old Style"/>
          <w:sz w:val="28"/>
          <w:szCs w:val="28"/>
        </w:rPr>
        <w:t xml:space="preserve">. 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Среднегодовая численность постоянного населения</w:t>
      </w:r>
    </w:p>
    <w:p w:rsidR="00463822" w:rsidRPr="00F96934" w:rsidRDefault="00387DDA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Среднегодовая ч</w:t>
      </w:r>
      <w:r w:rsidR="00463822" w:rsidRPr="00F96934">
        <w:rPr>
          <w:rFonts w:ascii="Bookman Old Style" w:hAnsi="Bookman Old Style"/>
          <w:sz w:val="28"/>
          <w:szCs w:val="28"/>
        </w:rPr>
        <w:t>исленность населения города на 1 января 201</w:t>
      </w:r>
      <w:r w:rsidR="00AC4893" w:rsidRPr="00F96934">
        <w:rPr>
          <w:rFonts w:ascii="Bookman Old Style" w:hAnsi="Bookman Old Style"/>
          <w:sz w:val="28"/>
          <w:szCs w:val="28"/>
        </w:rPr>
        <w:t>6</w:t>
      </w:r>
      <w:r w:rsidR="00463822" w:rsidRPr="00F96934">
        <w:rPr>
          <w:rFonts w:ascii="Bookman Old Style" w:hAnsi="Bookman Old Style"/>
          <w:sz w:val="28"/>
          <w:szCs w:val="28"/>
        </w:rPr>
        <w:t xml:space="preserve"> года составляла </w:t>
      </w:r>
      <w:r w:rsidR="00AC4893" w:rsidRPr="00F96934">
        <w:rPr>
          <w:rFonts w:ascii="Bookman Old Style" w:hAnsi="Bookman Old Style"/>
          <w:sz w:val="28"/>
          <w:szCs w:val="28"/>
        </w:rPr>
        <w:t>71 120</w:t>
      </w:r>
      <w:r w:rsidR="00463822" w:rsidRPr="00F96934">
        <w:rPr>
          <w:rFonts w:ascii="Bookman Old Style" w:hAnsi="Bookman Old Style"/>
          <w:sz w:val="28"/>
          <w:szCs w:val="28"/>
        </w:rPr>
        <w:t xml:space="preserve"> человек, по состоянию на 1 января 201</w:t>
      </w:r>
      <w:r w:rsidR="00AC4893" w:rsidRPr="00F96934">
        <w:rPr>
          <w:rFonts w:ascii="Bookman Old Style" w:hAnsi="Bookman Old Style"/>
          <w:sz w:val="28"/>
          <w:szCs w:val="28"/>
        </w:rPr>
        <w:t>7</w:t>
      </w:r>
      <w:r w:rsidR="00463822" w:rsidRPr="00F96934">
        <w:rPr>
          <w:rFonts w:ascii="Bookman Old Style" w:hAnsi="Bookman Old Style"/>
          <w:sz w:val="28"/>
          <w:szCs w:val="28"/>
        </w:rPr>
        <w:t xml:space="preserve"> года </w:t>
      </w:r>
      <w:r w:rsidRPr="00F96934">
        <w:rPr>
          <w:rFonts w:ascii="Bookman Old Style" w:hAnsi="Bookman Old Style"/>
          <w:sz w:val="28"/>
          <w:szCs w:val="28"/>
        </w:rPr>
        <w:t xml:space="preserve">среднегодовая </w:t>
      </w:r>
      <w:r w:rsidR="00463822" w:rsidRPr="00F96934">
        <w:rPr>
          <w:rFonts w:ascii="Bookman Old Style" w:hAnsi="Bookman Old Style"/>
          <w:sz w:val="28"/>
          <w:szCs w:val="28"/>
        </w:rPr>
        <w:t xml:space="preserve">численность </w:t>
      </w:r>
      <w:r w:rsidRPr="00F96934">
        <w:rPr>
          <w:rFonts w:ascii="Bookman Old Style" w:hAnsi="Bookman Old Style"/>
          <w:sz w:val="28"/>
          <w:szCs w:val="28"/>
        </w:rPr>
        <w:t xml:space="preserve">населения </w:t>
      </w:r>
      <w:r w:rsidR="00463822" w:rsidRPr="00F96934">
        <w:rPr>
          <w:rFonts w:ascii="Bookman Old Style" w:hAnsi="Bookman Old Style"/>
          <w:sz w:val="28"/>
          <w:szCs w:val="28"/>
        </w:rPr>
        <w:t xml:space="preserve">составила </w:t>
      </w:r>
      <w:r w:rsidR="00AC4893" w:rsidRPr="00F96934">
        <w:rPr>
          <w:rFonts w:ascii="Bookman Old Style" w:hAnsi="Bookman Old Style"/>
          <w:sz w:val="28"/>
          <w:szCs w:val="28"/>
        </w:rPr>
        <w:t xml:space="preserve">      71 246</w:t>
      </w:r>
      <w:r w:rsidR="00463822" w:rsidRPr="00F96934">
        <w:rPr>
          <w:rFonts w:ascii="Bookman Old Style" w:hAnsi="Bookman Old Style"/>
          <w:sz w:val="28"/>
          <w:szCs w:val="28"/>
        </w:rPr>
        <w:t xml:space="preserve"> человек.</w:t>
      </w:r>
    </w:p>
    <w:p w:rsidR="00463822" w:rsidRPr="00F96934" w:rsidRDefault="00AC4893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lastRenderedPageBreak/>
        <w:t>Увеличение</w:t>
      </w:r>
      <w:r w:rsidR="00463822" w:rsidRPr="00F96934">
        <w:rPr>
          <w:rFonts w:ascii="Bookman Old Style" w:hAnsi="Bookman Old Style"/>
          <w:sz w:val="28"/>
          <w:szCs w:val="28"/>
        </w:rPr>
        <w:t xml:space="preserve"> численности населения обусловлено </w:t>
      </w:r>
      <w:r w:rsidRPr="00F96934">
        <w:rPr>
          <w:rFonts w:ascii="Bookman Old Style" w:hAnsi="Bookman Old Style"/>
          <w:sz w:val="28"/>
          <w:szCs w:val="28"/>
        </w:rPr>
        <w:t>миграционным приростом.</w:t>
      </w:r>
    </w:p>
    <w:p w:rsidR="00463822" w:rsidRPr="00F96934" w:rsidRDefault="00463822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число родившихся  в 201</w:t>
      </w:r>
      <w:r w:rsidR="00AC4893" w:rsidRPr="00F96934">
        <w:rPr>
          <w:rFonts w:ascii="Bookman Old Style" w:hAnsi="Bookman Old Style"/>
          <w:sz w:val="28"/>
          <w:szCs w:val="28"/>
        </w:rPr>
        <w:t>7</w:t>
      </w:r>
      <w:r w:rsidRPr="00F96934">
        <w:rPr>
          <w:rFonts w:ascii="Bookman Old Style" w:hAnsi="Bookman Old Style"/>
          <w:sz w:val="28"/>
          <w:szCs w:val="28"/>
        </w:rPr>
        <w:t xml:space="preserve"> году составило </w:t>
      </w:r>
      <w:r w:rsidR="00AC4893" w:rsidRPr="00F96934">
        <w:rPr>
          <w:rFonts w:ascii="Bookman Old Style" w:hAnsi="Bookman Old Style"/>
          <w:sz w:val="28"/>
          <w:szCs w:val="28"/>
        </w:rPr>
        <w:t>985</w:t>
      </w:r>
      <w:r w:rsidRPr="00F96934">
        <w:rPr>
          <w:rFonts w:ascii="Bookman Old Style" w:hAnsi="Bookman Old Style"/>
          <w:sz w:val="28"/>
          <w:szCs w:val="28"/>
        </w:rPr>
        <w:t xml:space="preserve"> человек, рождаемость </w:t>
      </w:r>
      <w:r w:rsidR="00AC4893" w:rsidRPr="00F96934">
        <w:rPr>
          <w:rFonts w:ascii="Bookman Old Style" w:hAnsi="Bookman Old Style"/>
          <w:sz w:val="28"/>
          <w:szCs w:val="28"/>
        </w:rPr>
        <w:t xml:space="preserve">снизилась </w:t>
      </w:r>
      <w:r w:rsidRPr="00F96934">
        <w:rPr>
          <w:rFonts w:ascii="Bookman Old Style" w:hAnsi="Bookman Old Style"/>
          <w:sz w:val="28"/>
          <w:szCs w:val="28"/>
        </w:rPr>
        <w:t xml:space="preserve"> на </w:t>
      </w:r>
      <w:r w:rsidR="00AC4893" w:rsidRPr="00F96934">
        <w:rPr>
          <w:rFonts w:ascii="Bookman Old Style" w:hAnsi="Bookman Old Style"/>
          <w:sz w:val="28"/>
          <w:szCs w:val="28"/>
        </w:rPr>
        <w:t>32</w:t>
      </w:r>
      <w:r w:rsidRPr="00F96934">
        <w:rPr>
          <w:rFonts w:ascii="Bookman Old Style" w:hAnsi="Bookman Old Style"/>
          <w:sz w:val="28"/>
          <w:szCs w:val="28"/>
        </w:rPr>
        <w:t xml:space="preserve"> человек</w:t>
      </w:r>
      <w:r w:rsidR="00AC4893" w:rsidRPr="00F96934">
        <w:rPr>
          <w:rFonts w:ascii="Bookman Old Style" w:hAnsi="Bookman Old Style"/>
          <w:sz w:val="28"/>
          <w:szCs w:val="28"/>
        </w:rPr>
        <w:t>а</w:t>
      </w:r>
      <w:r w:rsidRPr="00F96934">
        <w:rPr>
          <w:rFonts w:ascii="Bookman Old Style" w:hAnsi="Bookman Old Style"/>
          <w:sz w:val="28"/>
          <w:szCs w:val="28"/>
        </w:rPr>
        <w:t xml:space="preserve"> (</w:t>
      </w:r>
      <w:r w:rsidR="00AC4893" w:rsidRPr="00F96934">
        <w:rPr>
          <w:rFonts w:ascii="Bookman Old Style" w:hAnsi="Bookman Old Style"/>
          <w:sz w:val="28"/>
          <w:szCs w:val="28"/>
        </w:rPr>
        <w:t>1 017</w:t>
      </w:r>
      <w:r w:rsidRPr="00F96934">
        <w:rPr>
          <w:rFonts w:ascii="Bookman Old Style" w:hAnsi="Bookman Old Style"/>
          <w:sz w:val="28"/>
          <w:szCs w:val="28"/>
        </w:rPr>
        <w:t xml:space="preserve"> человек в 201</w:t>
      </w:r>
      <w:r w:rsidR="00AC4893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году);</w:t>
      </w:r>
    </w:p>
    <w:p w:rsidR="00463822" w:rsidRPr="00F96934" w:rsidRDefault="00463822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смертность в 201</w:t>
      </w:r>
      <w:r w:rsidR="00AC4893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составила </w:t>
      </w:r>
      <w:r w:rsidR="00AB7192" w:rsidRPr="00F96934">
        <w:rPr>
          <w:rFonts w:ascii="Bookman Old Style" w:hAnsi="Bookman Old Style"/>
          <w:sz w:val="28"/>
          <w:szCs w:val="28"/>
        </w:rPr>
        <w:t xml:space="preserve">1 </w:t>
      </w:r>
      <w:r w:rsidR="00AC4893" w:rsidRPr="00F96934">
        <w:rPr>
          <w:rFonts w:ascii="Bookman Old Style" w:hAnsi="Bookman Old Style"/>
          <w:sz w:val="28"/>
          <w:szCs w:val="28"/>
        </w:rPr>
        <w:t>058</w:t>
      </w:r>
      <w:r w:rsidRPr="00F96934">
        <w:rPr>
          <w:rFonts w:ascii="Bookman Old Style" w:hAnsi="Bookman Old Style"/>
          <w:sz w:val="28"/>
          <w:szCs w:val="28"/>
        </w:rPr>
        <w:t xml:space="preserve"> человек, </w:t>
      </w:r>
      <w:r w:rsidR="00AC4893" w:rsidRPr="00F96934">
        <w:rPr>
          <w:rFonts w:ascii="Bookman Old Style" w:hAnsi="Bookman Old Style"/>
          <w:sz w:val="28"/>
          <w:szCs w:val="28"/>
        </w:rPr>
        <w:t xml:space="preserve">снизилась </w:t>
      </w:r>
      <w:r w:rsidRPr="00F96934">
        <w:rPr>
          <w:rFonts w:ascii="Bookman Old Style" w:hAnsi="Bookman Old Style"/>
          <w:sz w:val="28"/>
          <w:szCs w:val="28"/>
        </w:rPr>
        <w:t xml:space="preserve"> на </w:t>
      </w:r>
      <w:r w:rsidR="005868E5" w:rsidRPr="00F96934">
        <w:rPr>
          <w:rFonts w:ascii="Bookman Old Style" w:hAnsi="Bookman Old Style"/>
          <w:sz w:val="28"/>
          <w:szCs w:val="28"/>
        </w:rPr>
        <w:t>57</w:t>
      </w:r>
      <w:r w:rsidRPr="00F96934">
        <w:rPr>
          <w:rFonts w:ascii="Bookman Old Style" w:hAnsi="Bookman Old Style"/>
          <w:sz w:val="28"/>
          <w:szCs w:val="28"/>
        </w:rPr>
        <w:t xml:space="preserve"> человек по сравнению с предыдущим годом (</w:t>
      </w:r>
      <w:r w:rsidR="005868E5" w:rsidRPr="00F96934">
        <w:rPr>
          <w:rFonts w:ascii="Bookman Old Style" w:hAnsi="Bookman Old Style"/>
          <w:sz w:val="28"/>
          <w:szCs w:val="28"/>
        </w:rPr>
        <w:t>1 115</w:t>
      </w:r>
      <w:r w:rsidRPr="00F96934">
        <w:rPr>
          <w:rFonts w:ascii="Bookman Old Style" w:hAnsi="Bookman Old Style"/>
          <w:sz w:val="28"/>
          <w:szCs w:val="28"/>
        </w:rPr>
        <w:t xml:space="preserve"> человек в 201</w:t>
      </w:r>
      <w:r w:rsidR="005868E5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году).</w:t>
      </w:r>
    </w:p>
    <w:p w:rsidR="00463822" w:rsidRPr="00463822" w:rsidRDefault="00463822" w:rsidP="00387DDA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миграция населения в 201</w:t>
      </w:r>
      <w:r w:rsidR="005868E5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составила </w:t>
      </w:r>
      <w:r w:rsidR="00D573BE" w:rsidRPr="00F96934">
        <w:rPr>
          <w:rFonts w:ascii="Bookman Old Style" w:hAnsi="Bookman Old Style"/>
          <w:sz w:val="28"/>
          <w:szCs w:val="28"/>
        </w:rPr>
        <w:t>рост</w:t>
      </w:r>
      <w:r w:rsidR="00AB7192" w:rsidRPr="00F96934">
        <w:rPr>
          <w:rFonts w:ascii="Bookman Old Style" w:hAnsi="Bookman Old Style"/>
          <w:sz w:val="28"/>
          <w:szCs w:val="28"/>
        </w:rPr>
        <w:t xml:space="preserve"> на </w:t>
      </w:r>
      <w:r w:rsidR="005868E5" w:rsidRPr="00F96934">
        <w:rPr>
          <w:rFonts w:ascii="Bookman Old Style" w:hAnsi="Bookman Old Style"/>
          <w:sz w:val="28"/>
          <w:szCs w:val="28"/>
        </w:rPr>
        <w:t>246</w:t>
      </w:r>
      <w:r w:rsidRPr="00F96934">
        <w:rPr>
          <w:rFonts w:ascii="Bookman Old Style" w:hAnsi="Bookman Old Style"/>
          <w:sz w:val="28"/>
          <w:szCs w:val="28"/>
        </w:rPr>
        <w:t xml:space="preserve"> человек.</w:t>
      </w:r>
    </w:p>
    <w:p w:rsidR="00DC7EE7" w:rsidRDefault="00DC7EE7" w:rsidP="007415CD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Энергосбережение  повышение энергетической эффективности</w:t>
      </w:r>
    </w:p>
    <w:p w:rsidR="00DC7EE7" w:rsidRPr="00D64E25" w:rsidRDefault="00DC7EE7" w:rsidP="006C5F8A">
      <w:pPr>
        <w:spacing w:after="0"/>
        <w:ind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Удельная величина потребления энергетических ресурсов в многоквартирных домах</w:t>
      </w:r>
    </w:p>
    <w:p w:rsidR="00EB22AB" w:rsidRPr="00F96934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Удельная величина потребления энергетических ресурсов в многоквартирных домах в 201</w:t>
      </w:r>
      <w:r w:rsidR="003B198E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по всем показателям меньше в сравнении с 201</w:t>
      </w:r>
      <w:r w:rsidR="003B198E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годом, а именно:</w:t>
      </w:r>
    </w:p>
    <w:p w:rsidR="00EB22AB" w:rsidRPr="00F96934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Показатель электрической энергии в 201</w:t>
      </w:r>
      <w:r w:rsidR="003B198E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равен </w:t>
      </w:r>
      <w:r w:rsidR="003B198E" w:rsidRPr="00F96934">
        <w:rPr>
          <w:rFonts w:ascii="Bookman Old Style" w:hAnsi="Bookman Old Style"/>
          <w:sz w:val="28"/>
          <w:szCs w:val="28"/>
        </w:rPr>
        <w:t>1332,6</w:t>
      </w:r>
      <w:r w:rsidRPr="00F96934">
        <w:rPr>
          <w:rFonts w:ascii="Bookman Old Style" w:hAnsi="Bookman Old Style"/>
          <w:sz w:val="28"/>
          <w:szCs w:val="28"/>
        </w:rPr>
        <w:t xml:space="preserve"> кВт/</w:t>
      </w:r>
      <w:proofErr w:type="gramStart"/>
      <w:r w:rsidRPr="00F96934">
        <w:rPr>
          <w:rFonts w:ascii="Bookman Old Style" w:hAnsi="Bookman Old Style"/>
          <w:sz w:val="28"/>
          <w:szCs w:val="28"/>
        </w:rPr>
        <w:t>ч</w:t>
      </w:r>
      <w:proofErr w:type="gramEnd"/>
      <w:r w:rsidRPr="00F96934">
        <w:rPr>
          <w:rFonts w:ascii="Bookman Old Style" w:hAnsi="Bookman Old Style"/>
          <w:sz w:val="28"/>
          <w:szCs w:val="28"/>
        </w:rPr>
        <w:t xml:space="preserve"> на 1 проживающего (в 201</w:t>
      </w:r>
      <w:r w:rsidR="003B198E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– 13</w:t>
      </w:r>
      <w:r w:rsidR="003B198E" w:rsidRPr="00F96934">
        <w:rPr>
          <w:rFonts w:ascii="Bookman Old Style" w:hAnsi="Bookman Old Style"/>
          <w:sz w:val="28"/>
          <w:szCs w:val="28"/>
        </w:rPr>
        <w:t>25,6</w:t>
      </w:r>
      <w:r w:rsidRPr="00F96934">
        <w:rPr>
          <w:rFonts w:ascii="Bookman Old Style" w:hAnsi="Bookman Old Style"/>
          <w:sz w:val="28"/>
          <w:szCs w:val="28"/>
        </w:rPr>
        <w:t xml:space="preserve">). Снижение показателя обусловлено установкой энергосберегающего оборудования. </w:t>
      </w:r>
    </w:p>
    <w:p w:rsidR="00EB22AB" w:rsidRPr="00F96934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Показатель тепловой энергии в 201</w:t>
      </w:r>
      <w:r w:rsidR="003B198E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равен 0,</w:t>
      </w:r>
      <w:r w:rsidR="003B198E" w:rsidRPr="00F96934">
        <w:rPr>
          <w:rFonts w:ascii="Bookman Old Style" w:hAnsi="Bookman Old Style"/>
          <w:sz w:val="28"/>
          <w:szCs w:val="28"/>
        </w:rPr>
        <w:t>35</w:t>
      </w:r>
      <w:r w:rsidRPr="00F96934">
        <w:rPr>
          <w:rFonts w:ascii="Bookman Old Style" w:hAnsi="Bookman Old Style"/>
          <w:sz w:val="28"/>
          <w:szCs w:val="28"/>
        </w:rPr>
        <w:t xml:space="preserve"> Гкал на 1 кв. метр общей площади (в 201</w:t>
      </w:r>
      <w:r w:rsidR="003B198E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– 0,4</w:t>
      </w:r>
      <w:r w:rsidR="003B198E" w:rsidRPr="00F96934">
        <w:rPr>
          <w:rFonts w:ascii="Bookman Old Style" w:hAnsi="Bookman Old Style"/>
          <w:sz w:val="28"/>
          <w:szCs w:val="28"/>
        </w:rPr>
        <w:t>1</w:t>
      </w:r>
      <w:r w:rsidRPr="00F96934">
        <w:rPr>
          <w:rFonts w:ascii="Bookman Old Style" w:hAnsi="Bookman Old Style"/>
          <w:sz w:val="28"/>
          <w:szCs w:val="28"/>
        </w:rPr>
        <w:t>). Снижение показателя тепловой энергии в МКД обусловлено установкой общедомовых приборов учета тепловой энергии, установкой оборудования для регулировки подачи тепловой энергии, проведения управляющими компаниями мероприятий по экономии тепла в жилых домах.</w:t>
      </w:r>
    </w:p>
    <w:p w:rsidR="00EB22AB" w:rsidRPr="00F96934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Показатель по горячей воде в 201</w:t>
      </w:r>
      <w:r w:rsidR="003B198E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равен 16,2 куб. метров на 1 проживающего (в 201</w:t>
      </w:r>
      <w:r w:rsidR="003B198E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– 16,</w:t>
      </w:r>
      <w:r w:rsidR="003B198E" w:rsidRPr="00F96934">
        <w:rPr>
          <w:rFonts w:ascii="Bookman Old Style" w:hAnsi="Bookman Old Style"/>
          <w:sz w:val="28"/>
          <w:szCs w:val="28"/>
        </w:rPr>
        <w:t>2</w:t>
      </w:r>
      <w:r w:rsidRPr="00F96934">
        <w:rPr>
          <w:rFonts w:ascii="Bookman Old Style" w:hAnsi="Bookman Old Style"/>
          <w:sz w:val="28"/>
          <w:szCs w:val="28"/>
        </w:rPr>
        <w:t>).</w:t>
      </w:r>
    </w:p>
    <w:p w:rsidR="00EB22AB" w:rsidRPr="00EB22AB" w:rsidRDefault="00EB22AB" w:rsidP="00EB22AB">
      <w:pPr>
        <w:pStyle w:val="2"/>
        <w:spacing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Показатель по холодной воде в 201</w:t>
      </w:r>
      <w:r w:rsidR="0064607A" w:rsidRPr="00F96934">
        <w:rPr>
          <w:rFonts w:ascii="Bookman Old Style" w:hAnsi="Bookman Old Style"/>
          <w:sz w:val="28"/>
          <w:szCs w:val="28"/>
        </w:rPr>
        <w:t>6</w:t>
      </w:r>
      <w:r w:rsidRPr="00F96934">
        <w:rPr>
          <w:rFonts w:ascii="Bookman Old Style" w:hAnsi="Bookman Old Style"/>
          <w:sz w:val="28"/>
          <w:szCs w:val="28"/>
        </w:rPr>
        <w:t xml:space="preserve"> году равен 55,6 куб. метров на 1 проживающего (в 201</w:t>
      </w:r>
      <w:r w:rsidR="0064607A" w:rsidRPr="00F96934">
        <w:rPr>
          <w:rFonts w:ascii="Bookman Old Style" w:hAnsi="Bookman Old Style"/>
          <w:sz w:val="28"/>
          <w:szCs w:val="28"/>
        </w:rPr>
        <w:t>5</w:t>
      </w:r>
      <w:r w:rsidRPr="00F96934">
        <w:rPr>
          <w:rFonts w:ascii="Bookman Old Style" w:hAnsi="Bookman Old Style"/>
          <w:sz w:val="28"/>
          <w:szCs w:val="28"/>
        </w:rPr>
        <w:t xml:space="preserve"> – 55,73). Снижение показателя по холодной воду обусловлено установкой индивидуальных приборов учета в квартирах. Проведение управляющими организациями разъяснительных мероприятий по экономии коммунальных ресурсов.</w:t>
      </w:r>
    </w:p>
    <w:p w:rsidR="00DC7EE7" w:rsidRPr="00D64E25" w:rsidRDefault="00DC7EE7" w:rsidP="007415CD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>Удельная величина потребления энергетических ресурсов муниципальными бюджетными учреждениями</w:t>
      </w:r>
    </w:p>
    <w:p w:rsidR="00135054" w:rsidRPr="00135054" w:rsidRDefault="00135054" w:rsidP="00135054">
      <w:pPr>
        <w:autoSpaceDE w:val="0"/>
        <w:autoSpaceDN w:val="0"/>
        <w:adjustRightInd w:val="0"/>
        <w:spacing w:after="0"/>
        <w:ind w:firstLine="993"/>
        <w:jc w:val="both"/>
        <w:rPr>
          <w:rFonts w:ascii="Bookman Old Style" w:hAnsi="Bookman Old Style" w:cs="Bookman Old Style"/>
          <w:sz w:val="28"/>
          <w:szCs w:val="28"/>
          <w:highlight w:val="white"/>
        </w:rPr>
      </w:pPr>
      <w:r w:rsidRPr="00135054">
        <w:rPr>
          <w:rFonts w:ascii="Bookman Old Style" w:hAnsi="Bookman Old Style" w:cs="Bookman Old Style"/>
          <w:sz w:val="28"/>
          <w:szCs w:val="28"/>
          <w:highlight w:val="white"/>
        </w:rPr>
        <w:t>Удельная величина потребления электрической энергии муниципальными бюджетными учреждениями получается из расчета: объем потребленной электрической энергии муниципальными бюджетными учреждениями на одного человека населения. В 2016 году за счет увеличения численности населения удельная величина потребления электрической энергии составила 101,8 кВтч на одного человека, что по сравнению с 2015 годом меньше на 0,1 %.</w:t>
      </w:r>
    </w:p>
    <w:p w:rsidR="00135054" w:rsidRPr="00135054" w:rsidRDefault="00135054" w:rsidP="00135054">
      <w:pPr>
        <w:autoSpaceDE w:val="0"/>
        <w:autoSpaceDN w:val="0"/>
        <w:adjustRightInd w:val="0"/>
        <w:spacing w:after="0"/>
        <w:ind w:firstLine="993"/>
        <w:jc w:val="both"/>
        <w:rPr>
          <w:rFonts w:ascii="Bookman Old Style" w:hAnsi="Bookman Old Style" w:cs="Bookman Old Style"/>
          <w:sz w:val="28"/>
          <w:szCs w:val="28"/>
          <w:highlight w:val="white"/>
        </w:rPr>
      </w:pPr>
      <w:r w:rsidRPr="00135054">
        <w:rPr>
          <w:rFonts w:ascii="Bookman Old Style" w:hAnsi="Bookman Old Style" w:cs="Bookman Old Style"/>
          <w:sz w:val="28"/>
          <w:szCs w:val="28"/>
          <w:highlight w:val="white"/>
        </w:rPr>
        <w:t>Удельная величина потребления тепловой энергии муниципальными бюджетными учреждениями получается из расчета: объем потребленной тепловой энергии муниципальными бюджетными учреждениями на один квадратный метр площади, занимаемой бюджетными учреждениями. В связи с экономным расходованием тепловой энергии в 2016 году удельная величина потребления тепловой энергии уменьшилась на 15 % по сравнению с 2015 годом, что составило  0,35 Гкал на один кв. метр площади.</w:t>
      </w:r>
    </w:p>
    <w:p w:rsidR="00135054" w:rsidRPr="00135054" w:rsidRDefault="00135054" w:rsidP="00135054">
      <w:pPr>
        <w:autoSpaceDE w:val="0"/>
        <w:autoSpaceDN w:val="0"/>
        <w:adjustRightInd w:val="0"/>
        <w:spacing w:after="0"/>
        <w:ind w:firstLine="993"/>
        <w:jc w:val="both"/>
        <w:rPr>
          <w:rFonts w:ascii="Bookman Old Style" w:hAnsi="Bookman Old Style" w:cs="Bookman Old Style"/>
          <w:sz w:val="28"/>
          <w:szCs w:val="28"/>
          <w:highlight w:val="white"/>
        </w:rPr>
      </w:pPr>
      <w:r w:rsidRPr="00135054">
        <w:rPr>
          <w:rFonts w:ascii="Bookman Old Style" w:hAnsi="Bookman Old Style" w:cs="Bookman Old Style"/>
          <w:sz w:val="28"/>
          <w:szCs w:val="28"/>
          <w:highlight w:val="white"/>
        </w:rPr>
        <w:t>Удельная величина потребления горячей воды муниципальными бюджетными учреждениями получается из расчета: объем израсходованной горячей воды муниципальными бюджетными учреждениями на одного человека населения. В 2016 году за счет увеличения численности населения и экономичного потребления горячей воды удельная величина составила 2,3 куб. м на одного человека, что по сравнению с 2015 годом меньше на 1,3 %.</w:t>
      </w:r>
    </w:p>
    <w:p w:rsidR="00135054" w:rsidRPr="00135054" w:rsidRDefault="00135054" w:rsidP="00135054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  <w:highlight w:val="white"/>
        </w:rPr>
      </w:pPr>
      <w:r w:rsidRPr="00135054">
        <w:rPr>
          <w:rFonts w:ascii="Bookman Old Style" w:hAnsi="Bookman Old Style" w:cs="Bookman Old Style"/>
          <w:sz w:val="28"/>
          <w:szCs w:val="28"/>
          <w:highlight w:val="white"/>
        </w:rPr>
        <w:t>Удельная величина потребления холодной воды муниципальными бюджетными учреждениями получается из расчета: объем израсходованной холодной воды муниципальными бюджетными учреждениями на одного человека населения. В 2016 году за счет увеличения численности населения и экономичного потребления горячей воды удельная величина составила 4,69 куб. м на одного человека, что по сравнению с 2015 годом меньше на 1 %.</w:t>
      </w:r>
    </w:p>
    <w:p w:rsidR="00387DDA" w:rsidRPr="00F96934" w:rsidRDefault="00387DDA" w:rsidP="00D64E25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с 2011 года поэтапно снижается, это обусловлено внедрением </w:t>
      </w:r>
      <w:r w:rsidRPr="00F96934">
        <w:rPr>
          <w:rFonts w:ascii="Bookman Old Style" w:hAnsi="Bookman Old Style"/>
          <w:sz w:val="28"/>
          <w:szCs w:val="28"/>
        </w:rPr>
        <w:lastRenderedPageBreak/>
        <w:t xml:space="preserve">энергосберегающих технологий в бюджетных учреждениях во исполнение Федерального закона от 23.11.2009 № 261-ФЗ «Об энергосбережении </w:t>
      </w:r>
      <w:proofErr w:type="gramStart"/>
      <w:r w:rsidRPr="00F96934">
        <w:rPr>
          <w:rFonts w:ascii="Bookman Old Style" w:hAnsi="Bookman Old Style"/>
          <w:sz w:val="28"/>
          <w:szCs w:val="28"/>
        </w:rPr>
        <w:t>и</w:t>
      </w:r>
      <w:proofErr w:type="gramEnd"/>
      <w:r w:rsidRPr="00F96934">
        <w:rPr>
          <w:rFonts w:ascii="Bookman Old Style" w:hAnsi="Bookman Old Style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РФ», где в соответствии со статьей 24  муниципальное учреждение начиная с 1 января 2010 года обязано обеспечить </w:t>
      </w:r>
      <w:proofErr w:type="gramStart"/>
      <w:r w:rsidRPr="00F96934">
        <w:rPr>
          <w:rFonts w:ascii="Bookman Old Style" w:hAnsi="Bookman Old Style"/>
          <w:sz w:val="28"/>
          <w:szCs w:val="28"/>
        </w:rPr>
        <w:t>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  <w:proofErr w:type="gramEnd"/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F96934">
        <w:rPr>
          <w:rFonts w:ascii="Bookman Old Style" w:hAnsi="Bookman Old Style"/>
          <w:sz w:val="28"/>
          <w:szCs w:val="28"/>
        </w:rPr>
        <w:t>Проведены следующие мероприятия по энергосбережению для муниципальных учреждений: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>- обучение обслуживающего персонала учреждений способам и условиям энергосбережения;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>- замена ламп накаливания на энергосберегающие во всех учреждения;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 w:rsidRPr="00F96934">
        <w:rPr>
          <w:rFonts w:ascii="Bookman Old Style" w:hAnsi="Bookman Old Style" w:cs="Bookman Old Style"/>
          <w:sz w:val="28"/>
          <w:szCs w:val="28"/>
        </w:rPr>
        <w:t>у</w:t>
      </w:r>
      <w:r w:rsidRPr="00F96934">
        <w:rPr>
          <w:rFonts w:ascii="Bookman Old Style" w:hAnsi="Bookman Old Style" w:cs="Bookman Old Style"/>
          <w:sz w:val="28"/>
          <w:szCs w:val="28"/>
        </w:rPr>
        <w:t>становка приборов учета электрической, тепловой энергии, воды;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 w:rsidRPr="00F96934">
        <w:rPr>
          <w:rFonts w:ascii="Bookman Old Style" w:hAnsi="Bookman Old Style" w:cs="Bookman Old Style"/>
          <w:sz w:val="28"/>
          <w:szCs w:val="28"/>
        </w:rPr>
        <w:t>п</w:t>
      </w:r>
      <w:r w:rsidRPr="00F96934">
        <w:rPr>
          <w:rFonts w:ascii="Bookman Old Style" w:hAnsi="Bookman Old Style" w:cs="Bookman Old Style"/>
          <w:sz w:val="28"/>
          <w:szCs w:val="28"/>
        </w:rPr>
        <w:t>роведение текущего ремонта систем отопления;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 w:rsidRPr="00F96934">
        <w:rPr>
          <w:rFonts w:ascii="Bookman Old Style" w:hAnsi="Bookman Old Style" w:cs="Bookman Old Style"/>
          <w:sz w:val="28"/>
          <w:szCs w:val="28"/>
        </w:rPr>
        <w:t>у</w:t>
      </w:r>
      <w:r w:rsidRPr="00F96934">
        <w:rPr>
          <w:rFonts w:ascii="Bookman Old Style" w:hAnsi="Bookman Old Style" w:cs="Bookman Old Style"/>
          <w:sz w:val="28"/>
          <w:szCs w:val="28"/>
        </w:rPr>
        <w:t>тепление внешних стен зданий;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 w:rsidRPr="00F96934">
        <w:rPr>
          <w:rFonts w:ascii="Bookman Old Style" w:hAnsi="Bookman Old Style" w:cs="Bookman Old Style"/>
          <w:sz w:val="28"/>
          <w:szCs w:val="28"/>
        </w:rPr>
        <w:t>у</w:t>
      </w:r>
      <w:r w:rsidRPr="00F96934">
        <w:rPr>
          <w:rFonts w:ascii="Bookman Old Style" w:hAnsi="Bookman Old Style" w:cs="Bookman Old Style"/>
          <w:sz w:val="28"/>
          <w:szCs w:val="28"/>
        </w:rPr>
        <w:t>становка ламп с датчиком движения в переходном коридоре и запасном выходе;</w:t>
      </w:r>
    </w:p>
    <w:p w:rsidR="00387DDA" w:rsidRPr="00F96934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F96934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 w:rsidRPr="00F96934">
        <w:rPr>
          <w:rFonts w:ascii="Bookman Old Style" w:hAnsi="Bookman Old Style" w:cs="Bookman Old Style"/>
          <w:sz w:val="28"/>
          <w:szCs w:val="28"/>
        </w:rPr>
        <w:t>р</w:t>
      </w:r>
      <w:r w:rsidRPr="00F96934">
        <w:rPr>
          <w:rFonts w:ascii="Bookman Old Style" w:hAnsi="Bookman Old Style" w:cs="Bookman Old Style"/>
          <w:sz w:val="28"/>
          <w:szCs w:val="28"/>
        </w:rPr>
        <w:t>аботы по утеплению оконных проемов.</w:t>
      </w:r>
    </w:p>
    <w:p w:rsidR="007E3066" w:rsidRDefault="007E3066" w:rsidP="00F96934">
      <w:pPr>
        <w:autoSpaceDE w:val="0"/>
        <w:autoSpaceDN w:val="0"/>
        <w:adjustRightInd w:val="0"/>
        <w:spacing w:after="0"/>
        <w:ind w:firstLine="540"/>
        <w:jc w:val="both"/>
      </w:pPr>
      <w:r w:rsidRPr="00F96934">
        <w:rPr>
          <w:rFonts w:ascii="Bookman Old Style" w:hAnsi="Bookman Old Style" w:cs="Bookman Old Style"/>
          <w:sz w:val="28"/>
          <w:szCs w:val="28"/>
        </w:rPr>
        <w:t>Среди населения проведена работа о необходимости энергосбережения индивидуального потребления энергоресурсов, путем опубликования информации в СМИ, интернет. Также проводилось совещание с руководителями управляющих организаций и собственниками жилых помещений об экономии энергетических ресурсов.</w:t>
      </w:r>
    </w:p>
    <w:p w:rsidR="007E3066" w:rsidRPr="00304FA6" w:rsidRDefault="007E3066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</w:p>
    <w:p w:rsidR="006D7C4E" w:rsidRDefault="006D7C4E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6D7C4E" w:rsidRDefault="00324777" w:rsidP="006D7C4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</w:t>
      </w:r>
      <w:r w:rsidR="006D7C4E">
        <w:rPr>
          <w:rFonts w:ascii="Bookman Old Style" w:hAnsi="Bookman Old Style"/>
          <w:sz w:val="28"/>
          <w:szCs w:val="28"/>
        </w:rPr>
        <w:t xml:space="preserve">лава </w:t>
      </w:r>
      <w:r w:rsidR="00716F8B">
        <w:rPr>
          <w:rFonts w:ascii="Bookman Old Style" w:hAnsi="Bookman Old Style"/>
          <w:sz w:val="28"/>
          <w:szCs w:val="28"/>
        </w:rPr>
        <w:t xml:space="preserve">города </w:t>
      </w:r>
      <w:r w:rsidR="00F96934">
        <w:rPr>
          <w:rFonts w:ascii="Bookman Old Style" w:hAnsi="Bookman Old Style"/>
          <w:sz w:val="28"/>
          <w:szCs w:val="28"/>
        </w:rPr>
        <w:t>Минусинска</w:t>
      </w:r>
      <w:r w:rsidR="008D1053">
        <w:rPr>
          <w:rFonts w:ascii="Bookman Old Style" w:hAnsi="Bookman Old Style"/>
          <w:sz w:val="28"/>
          <w:szCs w:val="28"/>
        </w:rPr>
        <w:tab/>
      </w:r>
      <w:r w:rsidR="008D1053">
        <w:rPr>
          <w:rFonts w:ascii="Bookman Old Style" w:hAnsi="Bookman Old Style"/>
          <w:sz w:val="28"/>
          <w:szCs w:val="28"/>
        </w:rPr>
        <w:tab/>
      </w:r>
      <w:r w:rsidR="008D1053">
        <w:rPr>
          <w:rFonts w:ascii="Bookman Old Style" w:hAnsi="Bookman Old Style"/>
          <w:sz w:val="28"/>
          <w:szCs w:val="28"/>
        </w:rPr>
        <w:tab/>
      </w:r>
      <w:r w:rsidR="008D1053">
        <w:rPr>
          <w:rFonts w:ascii="Bookman Old Style" w:hAnsi="Bookman Old Style"/>
          <w:sz w:val="28"/>
          <w:szCs w:val="28"/>
        </w:rPr>
        <w:tab/>
      </w:r>
      <w:r w:rsidR="008D1053">
        <w:rPr>
          <w:rFonts w:ascii="Bookman Old Style" w:hAnsi="Bookman Old Style"/>
          <w:sz w:val="28"/>
          <w:szCs w:val="28"/>
        </w:rPr>
        <w:tab/>
      </w:r>
      <w:r w:rsidR="00716F8B">
        <w:rPr>
          <w:rFonts w:ascii="Bookman Old Style" w:hAnsi="Bookman Old Style"/>
          <w:sz w:val="28"/>
          <w:szCs w:val="28"/>
        </w:rPr>
        <w:t xml:space="preserve"> </w:t>
      </w:r>
      <w:r w:rsidR="00F96934">
        <w:rPr>
          <w:rFonts w:ascii="Bookman Old Style" w:hAnsi="Bookman Old Style"/>
          <w:sz w:val="28"/>
          <w:szCs w:val="28"/>
        </w:rPr>
        <w:t xml:space="preserve"> </w:t>
      </w:r>
      <w:r w:rsidR="00716F8B">
        <w:rPr>
          <w:rFonts w:ascii="Bookman Old Style" w:hAnsi="Bookman Old Style"/>
          <w:sz w:val="28"/>
          <w:szCs w:val="28"/>
        </w:rPr>
        <w:t>Д.Н. Меркулов</w:t>
      </w:r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96934" w:rsidRDefault="00F96934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F24B86" w:rsidRDefault="00F24B86" w:rsidP="00F24B8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Грязева Елена Николаевна,</w:t>
      </w:r>
    </w:p>
    <w:p w:rsidR="00F24B86" w:rsidRPr="00F24B86" w:rsidRDefault="00F24B86" w:rsidP="006D7C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 (39-132) 2-21-78</w:t>
      </w:r>
    </w:p>
    <w:sectPr w:rsidR="00F24B86" w:rsidRPr="00F24B86" w:rsidSect="001F602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EF" w:rsidRDefault="002849EF" w:rsidP="006805E2">
      <w:pPr>
        <w:spacing w:after="0" w:line="240" w:lineRule="auto"/>
      </w:pPr>
      <w:r>
        <w:separator/>
      </w:r>
    </w:p>
  </w:endnote>
  <w:endnote w:type="continuationSeparator" w:id="0">
    <w:p w:rsidR="002849EF" w:rsidRDefault="002849EF" w:rsidP="0068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4819"/>
    </w:sdtPr>
    <w:sdtEndPr>
      <w:rPr>
        <w:rFonts w:ascii="Bookman Old Style" w:hAnsi="Bookman Old Style"/>
      </w:rPr>
    </w:sdtEndPr>
    <w:sdtContent>
      <w:p w:rsidR="002849EF" w:rsidRPr="006805E2" w:rsidRDefault="00833007">
        <w:pPr>
          <w:pStyle w:val="af"/>
          <w:jc w:val="right"/>
          <w:rPr>
            <w:rFonts w:ascii="Bookman Old Style" w:hAnsi="Bookman Old Style"/>
          </w:rPr>
        </w:pPr>
        <w:r w:rsidRPr="006805E2">
          <w:rPr>
            <w:rFonts w:ascii="Bookman Old Style" w:hAnsi="Bookman Old Style"/>
          </w:rPr>
          <w:fldChar w:fldCharType="begin"/>
        </w:r>
        <w:r w:rsidR="002849EF" w:rsidRPr="006805E2">
          <w:rPr>
            <w:rFonts w:ascii="Bookman Old Style" w:hAnsi="Bookman Old Style"/>
          </w:rPr>
          <w:instrText>PAGE   \* MERGEFORMAT</w:instrText>
        </w:r>
        <w:r w:rsidRPr="006805E2">
          <w:rPr>
            <w:rFonts w:ascii="Bookman Old Style" w:hAnsi="Bookman Old Style"/>
          </w:rPr>
          <w:fldChar w:fldCharType="separate"/>
        </w:r>
        <w:r w:rsidR="00F96934">
          <w:rPr>
            <w:rFonts w:ascii="Bookman Old Style" w:hAnsi="Bookman Old Style"/>
            <w:noProof/>
          </w:rPr>
          <w:t>33</w:t>
        </w:r>
        <w:r w:rsidRPr="006805E2">
          <w:rPr>
            <w:rFonts w:ascii="Bookman Old Style" w:hAnsi="Bookman Old Style"/>
          </w:rPr>
          <w:fldChar w:fldCharType="end"/>
        </w:r>
      </w:p>
    </w:sdtContent>
  </w:sdt>
  <w:p w:rsidR="002849EF" w:rsidRDefault="002849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EF" w:rsidRDefault="002849EF" w:rsidP="006805E2">
      <w:pPr>
        <w:spacing w:after="0" w:line="240" w:lineRule="auto"/>
      </w:pPr>
      <w:r>
        <w:separator/>
      </w:r>
    </w:p>
  </w:footnote>
  <w:footnote w:type="continuationSeparator" w:id="0">
    <w:p w:rsidR="002849EF" w:rsidRDefault="002849EF" w:rsidP="0068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04"/>
    <w:multiLevelType w:val="hybridMultilevel"/>
    <w:tmpl w:val="D834D84A"/>
    <w:lvl w:ilvl="0" w:tplc="4718DDD6">
      <w:start w:val="201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7F0"/>
    <w:multiLevelType w:val="hybridMultilevel"/>
    <w:tmpl w:val="B9323B48"/>
    <w:lvl w:ilvl="0" w:tplc="3FE0E0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395D05"/>
    <w:multiLevelType w:val="hybridMultilevel"/>
    <w:tmpl w:val="AF469F9A"/>
    <w:lvl w:ilvl="0" w:tplc="E9420B52">
      <w:start w:val="7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43A5"/>
    <w:multiLevelType w:val="hybridMultilevel"/>
    <w:tmpl w:val="5DE23ACC"/>
    <w:lvl w:ilvl="0" w:tplc="ABE8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268F6"/>
    <w:multiLevelType w:val="hybridMultilevel"/>
    <w:tmpl w:val="7B26E600"/>
    <w:lvl w:ilvl="0" w:tplc="55CCC3A8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5E1"/>
    <w:multiLevelType w:val="hybridMultilevel"/>
    <w:tmpl w:val="0BB4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32E"/>
    <w:multiLevelType w:val="hybridMultilevel"/>
    <w:tmpl w:val="CF2EA68A"/>
    <w:lvl w:ilvl="0" w:tplc="66568B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1D71"/>
    <w:multiLevelType w:val="hybridMultilevel"/>
    <w:tmpl w:val="CDEA49E6"/>
    <w:lvl w:ilvl="0" w:tplc="0F02FA8E">
      <w:start w:val="75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54FD"/>
    <w:multiLevelType w:val="hybridMultilevel"/>
    <w:tmpl w:val="07CC8D56"/>
    <w:lvl w:ilvl="0" w:tplc="4AAAD730">
      <w:start w:val="1"/>
      <w:numFmt w:val="decimal"/>
      <w:lvlText w:val="%1."/>
      <w:lvlJc w:val="left"/>
      <w:pPr>
        <w:ind w:left="342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31B70280"/>
    <w:multiLevelType w:val="hybridMultilevel"/>
    <w:tmpl w:val="52B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ADE"/>
    <w:multiLevelType w:val="hybridMultilevel"/>
    <w:tmpl w:val="E90C0AA4"/>
    <w:lvl w:ilvl="0" w:tplc="E50CC0E6">
      <w:start w:val="96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753C"/>
    <w:multiLevelType w:val="hybridMultilevel"/>
    <w:tmpl w:val="7B90E626"/>
    <w:lvl w:ilvl="0" w:tplc="43B01D3A">
      <w:start w:val="2014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62A9"/>
    <w:multiLevelType w:val="hybridMultilevel"/>
    <w:tmpl w:val="F08E3EA4"/>
    <w:lvl w:ilvl="0" w:tplc="42B68D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A4D8C"/>
    <w:multiLevelType w:val="hybridMultilevel"/>
    <w:tmpl w:val="700A9412"/>
    <w:lvl w:ilvl="0" w:tplc="3A08A29A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1424A"/>
    <w:multiLevelType w:val="hybridMultilevel"/>
    <w:tmpl w:val="8A3812C6"/>
    <w:lvl w:ilvl="0" w:tplc="F3A8308A">
      <w:start w:val="201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763E7"/>
    <w:multiLevelType w:val="hybridMultilevel"/>
    <w:tmpl w:val="D764C77C"/>
    <w:lvl w:ilvl="0" w:tplc="415CF042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70BEE"/>
    <w:multiLevelType w:val="hybridMultilevel"/>
    <w:tmpl w:val="CCBAA58A"/>
    <w:lvl w:ilvl="0" w:tplc="F370D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3871C6"/>
    <w:multiLevelType w:val="multilevel"/>
    <w:tmpl w:val="77DA4E36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18">
    <w:nsid w:val="6DD71BCA"/>
    <w:multiLevelType w:val="hybridMultilevel"/>
    <w:tmpl w:val="7CE28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4E655E"/>
    <w:multiLevelType w:val="multilevel"/>
    <w:tmpl w:val="952C3EC8"/>
    <w:lvl w:ilvl="0">
      <w:start w:val="1"/>
      <w:numFmt w:val="upperRoman"/>
      <w:lvlText w:val="%1."/>
      <w:lvlJc w:val="left"/>
      <w:pPr>
        <w:ind w:left="786" w:hanging="360"/>
      </w:pPr>
      <w:rPr>
        <w:rFonts w:ascii="Bookman Old Style" w:eastAsiaTheme="minorHAnsi" w:hAnsi="Bookman Old Style" w:cstheme="minorBidi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20">
    <w:nsid w:val="6E7C644C"/>
    <w:multiLevelType w:val="hybridMultilevel"/>
    <w:tmpl w:val="AEBE5E30"/>
    <w:lvl w:ilvl="0" w:tplc="D5AA73E6">
      <w:start w:val="20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20EFA"/>
    <w:multiLevelType w:val="hybridMultilevel"/>
    <w:tmpl w:val="5EEAAB26"/>
    <w:lvl w:ilvl="0" w:tplc="F59AD5EC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33D7E"/>
    <w:multiLevelType w:val="multilevel"/>
    <w:tmpl w:val="71122F54"/>
    <w:lvl w:ilvl="0">
      <w:start w:val="2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23">
    <w:nsid w:val="76E33E13"/>
    <w:multiLevelType w:val="hybridMultilevel"/>
    <w:tmpl w:val="200A7D48"/>
    <w:lvl w:ilvl="0" w:tplc="CDCED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9E2387"/>
    <w:multiLevelType w:val="hybridMultilevel"/>
    <w:tmpl w:val="529A416E"/>
    <w:lvl w:ilvl="0" w:tplc="6038B67C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833FC"/>
    <w:multiLevelType w:val="multilevel"/>
    <w:tmpl w:val="267245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52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6"/>
  </w:num>
  <w:num w:numId="5">
    <w:abstractNumId w:val="12"/>
  </w:num>
  <w:num w:numId="6">
    <w:abstractNumId w:val="20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24"/>
  </w:num>
  <w:num w:numId="15">
    <w:abstractNumId w:val="21"/>
  </w:num>
  <w:num w:numId="16">
    <w:abstractNumId w:val="11"/>
  </w:num>
  <w:num w:numId="17">
    <w:abstractNumId w:val="23"/>
  </w:num>
  <w:num w:numId="18">
    <w:abstractNumId w:val="9"/>
  </w:num>
  <w:num w:numId="19">
    <w:abstractNumId w:val="3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13"/>
  </w:num>
  <w:num w:numId="25">
    <w:abstractNumId w:val="8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41"/>
    <w:rsid w:val="0002663F"/>
    <w:rsid w:val="0004395B"/>
    <w:rsid w:val="00044EC7"/>
    <w:rsid w:val="00061C01"/>
    <w:rsid w:val="00062122"/>
    <w:rsid w:val="0007533F"/>
    <w:rsid w:val="0008613E"/>
    <w:rsid w:val="000929C0"/>
    <w:rsid w:val="000A403A"/>
    <w:rsid w:val="000C1D6D"/>
    <w:rsid w:val="000C2899"/>
    <w:rsid w:val="000D6DA5"/>
    <w:rsid w:val="000E6C8F"/>
    <w:rsid w:val="001027A3"/>
    <w:rsid w:val="001117E8"/>
    <w:rsid w:val="00122293"/>
    <w:rsid w:val="00135054"/>
    <w:rsid w:val="001407F3"/>
    <w:rsid w:val="0014701C"/>
    <w:rsid w:val="00147D42"/>
    <w:rsid w:val="00150902"/>
    <w:rsid w:val="00152FA0"/>
    <w:rsid w:val="00196515"/>
    <w:rsid w:val="001A0311"/>
    <w:rsid w:val="001A1F5E"/>
    <w:rsid w:val="001C25E6"/>
    <w:rsid w:val="001C3466"/>
    <w:rsid w:val="001C7C0C"/>
    <w:rsid w:val="001D70A8"/>
    <w:rsid w:val="001E6BE0"/>
    <w:rsid w:val="001F2165"/>
    <w:rsid w:val="001F53AC"/>
    <w:rsid w:val="001F6025"/>
    <w:rsid w:val="00205E17"/>
    <w:rsid w:val="002103CF"/>
    <w:rsid w:val="00213A26"/>
    <w:rsid w:val="002349DA"/>
    <w:rsid w:val="00270551"/>
    <w:rsid w:val="00272E27"/>
    <w:rsid w:val="0028398E"/>
    <w:rsid w:val="002849EF"/>
    <w:rsid w:val="002878F8"/>
    <w:rsid w:val="00296160"/>
    <w:rsid w:val="002B31CA"/>
    <w:rsid w:val="002B75C3"/>
    <w:rsid w:val="002C548D"/>
    <w:rsid w:val="002D2554"/>
    <w:rsid w:val="002E4D2D"/>
    <w:rsid w:val="002F0F91"/>
    <w:rsid w:val="002F5D54"/>
    <w:rsid w:val="00302FCB"/>
    <w:rsid w:val="00304FA6"/>
    <w:rsid w:val="00307E60"/>
    <w:rsid w:val="0031335B"/>
    <w:rsid w:val="00313DA6"/>
    <w:rsid w:val="0031524C"/>
    <w:rsid w:val="003162E5"/>
    <w:rsid w:val="003162EC"/>
    <w:rsid w:val="00324777"/>
    <w:rsid w:val="00347649"/>
    <w:rsid w:val="003526BB"/>
    <w:rsid w:val="0035485A"/>
    <w:rsid w:val="00357C9B"/>
    <w:rsid w:val="00360A39"/>
    <w:rsid w:val="003657B6"/>
    <w:rsid w:val="00371DDC"/>
    <w:rsid w:val="003806C7"/>
    <w:rsid w:val="00387DDA"/>
    <w:rsid w:val="003A1552"/>
    <w:rsid w:val="003B198E"/>
    <w:rsid w:val="003B7D47"/>
    <w:rsid w:val="003F2813"/>
    <w:rsid w:val="003F5496"/>
    <w:rsid w:val="00425B03"/>
    <w:rsid w:val="00446E97"/>
    <w:rsid w:val="00463822"/>
    <w:rsid w:val="00491FC1"/>
    <w:rsid w:val="00493D53"/>
    <w:rsid w:val="0049525A"/>
    <w:rsid w:val="004A1D4C"/>
    <w:rsid w:val="004A3FD1"/>
    <w:rsid w:val="004C3C9C"/>
    <w:rsid w:val="004C5E23"/>
    <w:rsid w:val="004D1573"/>
    <w:rsid w:val="004D4EE1"/>
    <w:rsid w:val="004E25F5"/>
    <w:rsid w:val="00500F2C"/>
    <w:rsid w:val="0050575C"/>
    <w:rsid w:val="0051350C"/>
    <w:rsid w:val="00515F46"/>
    <w:rsid w:val="005351CA"/>
    <w:rsid w:val="00535530"/>
    <w:rsid w:val="00540702"/>
    <w:rsid w:val="00557AC5"/>
    <w:rsid w:val="00570B75"/>
    <w:rsid w:val="00584084"/>
    <w:rsid w:val="005868E5"/>
    <w:rsid w:val="00586F8C"/>
    <w:rsid w:val="00587C26"/>
    <w:rsid w:val="00591B0C"/>
    <w:rsid w:val="00593EE1"/>
    <w:rsid w:val="005A02BE"/>
    <w:rsid w:val="005A09AF"/>
    <w:rsid w:val="005B48B5"/>
    <w:rsid w:val="005C3230"/>
    <w:rsid w:val="005C5E90"/>
    <w:rsid w:val="005E3329"/>
    <w:rsid w:val="00621904"/>
    <w:rsid w:val="0064607A"/>
    <w:rsid w:val="0064619C"/>
    <w:rsid w:val="00656285"/>
    <w:rsid w:val="006805E2"/>
    <w:rsid w:val="00681364"/>
    <w:rsid w:val="00683659"/>
    <w:rsid w:val="006B07C2"/>
    <w:rsid w:val="006B48D4"/>
    <w:rsid w:val="006C1A41"/>
    <w:rsid w:val="006C5F8A"/>
    <w:rsid w:val="006D7C4E"/>
    <w:rsid w:val="006E030C"/>
    <w:rsid w:val="006E73C9"/>
    <w:rsid w:val="007006AB"/>
    <w:rsid w:val="00712555"/>
    <w:rsid w:val="00716F8B"/>
    <w:rsid w:val="00720F91"/>
    <w:rsid w:val="007234AB"/>
    <w:rsid w:val="007322AD"/>
    <w:rsid w:val="007415CD"/>
    <w:rsid w:val="0078197C"/>
    <w:rsid w:val="00782C3C"/>
    <w:rsid w:val="00786365"/>
    <w:rsid w:val="00787ED3"/>
    <w:rsid w:val="0079033B"/>
    <w:rsid w:val="0079298E"/>
    <w:rsid w:val="007B3008"/>
    <w:rsid w:val="007B7A38"/>
    <w:rsid w:val="007C25A7"/>
    <w:rsid w:val="007D7D8C"/>
    <w:rsid w:val="007E03BE"/>
    <w:rsid w:val="007E29FB"/>
    <w:rsid w:val="007E3066"/>
    <w:rsid w:val="008012A7"/>
    <w:rsid w:val="008114F3"/>
    <w:rsid w:val="00811BBB"/>
    <w:rsid w:val="00833007"/>
    <w:rsid w:val="0083587A"/>
    <w:rsid w:val="0084310C"/>
    <w:rsid w:val="008437D3"/>
    <w:rsid w:val="00847718"/>
    <w:rsid w:val="008526A9"/>
    <w:rsid w:val="00865EE3"/>
    <w:rsid w:val="00866871"/>
    <w:rsid w:val="0087429D"/>
    <w:rsid w:val="00874400"/>
    <w:rsid w:val="00891878"/>
    <w:rsid w:val="008A27BC"/>
    <w:rsid w:val="008A4ED2"/>
    <w:rsid w:val="008B13F0"/>
    <w:rsid w:val="008C7C96"/>
    <w:rsid w:val="008D1053"/>
    <w:rsid w:val="008E52E0"/>
    <w:rsid w:val="009064FA"/>
    <w:rsid w:val="0091122F"/>
    <w:rsid w:val="0091393C"/>
    <w:rsid w:val="009147F2"/>
    <w:rsid w:val="009258BD"/>
    <w:rsid w:val="0095423E"/>
    <w:rsid w:val="00954984"/>
    <w:rsid w:val="0095750C"/>
    <w:rsid w:val="009727DB"/>
    <w:rsid w:val="00977E6C"/>
    <w:rsid w:val="0098238E"/>
    <w:rsid w:val="00A02597"/>
    <w:rsid w:val="00A02B4E"/>
    <w:rsid w:val="00A41B71"/>
    <w:rsid w:val="00A4466C"/>
    <w:rsid w:val="00A46D09"/>
    <w:rsid w:val="00A5201E"/>
    <w:rsid w:val="00A53760"/>
    <w:rsid w:val="00A749BB"/>
    <w:rsid w:val="00A90850"/>
    <w:rsid w:val="00A92592"/>
    <w:rsid w:val="00A960B9"/>
    <w:rsid w:val="00AB7192"/>
    <w:rsid w:val="00AC4893"/>
    <w:rsid w:val="00AC5C1C"/>
    <w:rsid w:val="00AD7140"/>
    <w:rsid w:val="00AE337F"/>
    <w:rsid w:val="00AE67F8"/>
    <w:rsid w:val="00AF30F2"/>
    <w:rsid w:val="00AF4388"/>
    <w:rsid w:val="00AF7D74"/>
    <w:rsid w:val="00B05FB8"/>
    <w:rsid w:val="00B31700"/>
    <w:rsid w:val="00B51A99"/>
    <w:rsid w:val="00B716C6"/>
    <w:rsid w:val="00B81C4B"/>
    <w:rsid w:val="00B83EFC"/>
    <w:rsid w:val="00B9537D"/>
    <w:rsid w:val="00B955C5"/>
    <w:rsid w:val="00BA3B49"/>
    <w:rsid w:val="00BA4B92"/>
    <w:rsid w:val="00BB6E4D"/>
    <w:rsid w:val="00BB73C3"/>
    <w:rsid w:val="00C06C7D"/>
    <w:rsid w:val="00C228EC"/>
    <w:rsid w:val="00C40A1A"/>
    <w:rsid w:val="00C4513D"/>
    <w:rsid w:val="00C66C0E"/>
    <w:rsid w:val="00C90C33"/>
    <w:rsid w:val="00CB112D"/>
    <w:rsid w:val="00CC2A7B"/>
    <w:rsid w:val="00CE306F"/>
    <w:rsid w:val="00CE5452"/>
    <w:rsid w:val="00CF224F"/>
    <w:rsid w:val="00CF7301"/>
    <w:rsid w:val="00D06D18"/>
    <w:rsid w:val="00D1377C"/>
    <w:rsid w:val="00D149FE"/>
    <w:rsid w:val="00D15DC0"/>
    <w:rsid w:val="00D15E1C"/>
    <w:rsid w:val="00D44D73"/>
    <w:rsid w:val="00D542A1"/>
    <w:rsid w:val="00D55BFB"/>
    <w:rsid w:val="00D573BE"/>
    <w:rsid w:val="00D61160"/>
    <w:rsid w:val="00D62FE5"/>
    <w:rsid w:val="00D64E25"/>
    <w:rsid w:val="00D8736F"/>
    <w:rsid w:val="00D9396B"/>
    <w:rsid w:val="00D971AB"/>
    <w:rsid w:val="00DA2E45"/>
    <w:rsid w:val="00DB4669"/>
    <w:rsid w:val="00DC57DC"/>
    <w:rsid w:val="00DC7EE7"/>
    <w:rsid w:val="00DF3929"/>
    <w:rsid w:val="00E00257"/>
    <w:rsid w:val="00E00A16"/>
    <w:rsid w:val="00E01A79"/>
    <w:rsid w:val="00E1055E"/>
    <w:rsid w:val="00E45536"/>
    <w:rsid w:val="00E57453"/>
    <w:rsid w:val="00E74725"/>
    <w:rsid w:val="00E77BA5"/>
    <w:rsid w:val="00E90080"/>
    <w:rsid w:val="00E9708A"/>
    <w:rsid w:val="00EB22AB"/>
    <w:rsid w:val="00EB312D"/>
    <w:rsid w:val="00EB41D9"/>
    <w:rsid w:val="00ED0CD0"/>
    <w:rsid w:val="00EE35C0"/>
    <w:rsid w:val="00EF0178"/>
    <w:rsid w:val="00F00D5E"/>
    <w:rsid w:val="00F06160"/>
    <w:rsid w:val="00F115A2"/>
    <w:rsid w:val="00F16E46"/>
    <w:rsid w:val="00F24B86"/>
    <w:rsid w:val="00F34862"/>
    <w:rsid w:val="00F448BE"/>
    <w:rsid w:val="00F60D9E"/>
    <w:rsid w:val="00F63D6F"/>
    <w:rsid w:val="00F71519"/>
    <w:rsid w:val="00F92D27"/>
    <w:rsid w:val="00F95B18"/>
    <w:rsid w:val="00F96934"/>
    <w:rsid w:val="00FA0B29"/>
    <w:rsid w:val="00FE20C1"/>
    <w:rsid w:val="00FE3F65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41"/>
    <w:pPr>
      <w:ind w:left="720"/>
      <w:contextualSpacing/>
    </w:pPr>
  </w:style>
  <w:style w:type="table" w:styleId="a4">
    <w:name w:val="Table Grid"/>
    <w:basedOn w:val="a1"/>
    <w:rsid w:val="009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C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C7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7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AF4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AF4388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B22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22AB"/>
  </w:style>
  <w:style w:type="paragraph" w:styleId="ad">
    <w:name w:val="header"/>
    <w:basedOn w:val="a"/>
    <w:link w:val="ae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5E2"/>
  </w:style>
  <w:style w:type="paragraph" w:styleId="af">
    <w:name w:val="footer"/>
    <w:basedOn w:val="a"/>
    <w:link w:val="af0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41"/>
    <w:pPr>
      <w:ind w:left="720"/>
      <w:contextualSpacing/>
    </w:pPr>
  </w:style>
  <w:style w:type="table" w:styleId="a4">
    <w:name w:val="Table Grid"/>
    <w:basedOn w:val="a1"/>
    <w:rsid w:val="009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C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C7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7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AF4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AF4388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B22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22AB"/>
  </w:style>
  <w:style w:type="paragraph" w:styleId="ad">
    <w:name w:val="header"/>
    <w:basedOn w:val="a"/>
    <w:link w:val="ae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5E2"/>
  </w:style>
  <w:style w:type="paragraph" w:styleId="af">
    <w:name w:val="footer"/>
    <w:basedOn w:val="a"/>
    <w:link w:val="af0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15015015015067E-2"/>
                  <c:y val="-0.28650137741046838"/>
                </c:manualLayout>
              </c:layout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 b="1" baseline="0"/>
                      <a:t>36</a:t>
                    </a:r>
                    <a:r>
                      <a:rPr lang="ru-RU" sz="1000" b="1" baseline="0"/>
                      <a:t> </a:t>
                    </a:r>
                    <a:r>
                      <a:rPr lang="en-US" sz="1000" b="1" baseline="0"/>
                      <a:t>838</a:t>
                    </a:r>
                    <a:endParaRPr lang="en-US" sz="10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15015015015067E-2"/>
                  <c:y val="-0.32506887052341726"/>
                </c:manualLayout>
              </c:layout>
              <c:spPr/>
              <c:txPr>
                <a:bodyPr/>
                <a:lstStyle/>
                <a:p>
                  <a:pPr>
                    <a:defRPr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060060060060094E-3"/>
                  <c:y val="-0.396694648706101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14778558085683E-2"/>
                  <c:y val="-0.26997245179063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36838</c:v>
                </c:pt>
                <c:pt idx="1">
                  <c:v>55006</c:v>
                </c:pt>
                <c:pt idx="2">
                  <c:v>64528</c:v>
                </c:pt>
                <c:pt idx="3">
                  <c:v>34887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3122048"/>
        <c:axId val="213168896"/>
        <c:axId val="0"/>
      </c:bar3DChart>
      <c:catAx>
        <c:axId val="21312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168896"/>
        <c:crosses val="autoZero"/>
        <c:auto val="1"/>
        <c:lblAlgn val="ctr"/>
        <c:lblOffset val="100"/>
        <c:noMultiLvlLbl val="0"/>
      </c:catAx>
      <c:valAx>
        <c:axId val="2131688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12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21304653991468E-2"/>
          <c:y val="4.7144457261313673E-2"/>
          <c:w val="0.88209034846253953"/>
          <c:h val="0.8464790945717799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30806257521059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750152623112264E-3"/>
                  <c:y val="-0.40609423822022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22416302765648E-3"/>
                  <c:y val="-0.40914560770156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618566991519944E-2"/>
                  <c:y val="-0.20904230721159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40472</c:v>
                </c:pt>
                <c:pt idx="1">
                  <c:v>51495</c:v>
                </c:pt>
                <c:pt idx="2">
                  <c:v>46317</c:v>
                </c:pt>
                <c:pt idx="3">
                  <c:v>20223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574976"/>
        <c:axId val="214576512"/>
        <c:axId val="0"/>
      </c:bar3DChart>
      <c:catAx>
        <c:axId val="21457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576512"/>
        <c:crosses val="autoZero"/>
        <c:auto val="1"/>
        <c:lblAlgn val="ctr"/>
        <c:lblOffset val="100"/>
        <c:noMultiLvlLbl val="0"/>
      </c:catAx>
      <c:valAx>
        <c:axId val="2145765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457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AD1B-C58D-4657-82B8-6AB718B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7</cp:revision>
  <cp:lastPrinted>2016-04-29T07:55:00Z</cp:lastPrinted>
  <dcterms:created xsi:type="dcterms:W3CDTF">2017-05-02T09:20:00Z</dcterms:created>
  <dcterms:modified xsi:type="dcterms:W3CDTF">2017-05-02T11:35:00Z</dcterms:modified>
</cp:coreProperties>
</file>