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Извещение о проведении отбора подрядных организаций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муниципального образования город Минусинск</w:t>
      </w: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DC6CB2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/>
          <w:sz w:val="24"/>
          <w:szCs w:val="24"/>
        </w:rPr>
        <w:t>ь</w:t>
      </w:r>
      <w:r w:rsidRPr="00F97BEC">
        <w:rPr>
          <w:rFonts w:ascii="Times New Roman" w:hAnsi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EC">
        <w:rPr>
          <w:rFonts w:ascii="Times New Roman" w:hAnsi="Times New Roman"/>
          <w:sz w:val="24"/>
          <w:szCs w:val="24"/>
        </w:rPr>
        <w:t>в сети Интернет</w:t>
      </w:r>
      <w:r w:rsidRPr="00DC6CB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minusinsk</w:t>
      </w:r>
      <w:proofErr w:type="spellEnd"/>
      <w:r w:rsidRPr="00DC6C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DC6C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264D4" w:rsidRPr="002E0D57" w:rsidRDefault="005264D4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686"/>
      </w:tblGrid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6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264D4" w:rsidRPr="00516835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835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86" w:type="dxa"/>
            <w:vAlign w:val="center"/>
          </w:tcPr>
          <w:p w:rsidR="005264D4" w:rsidRPr="00D74271" w:rsidRDefault="005264D4" w:rsidP="0051683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662610,Красноярский край, 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ул.Гагарина дом 23, кв.63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Гагарина,21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D5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асфальтобетонного п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крытия дворового проезда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сентября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Минимальные сроки предоставления гарантий кач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ства работ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эксплуатация объектов благоус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ройства – не менее 2-х лет, за и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ключением асфальтового покр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тия – не менее 4-х лет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ту налогов, сборов и других обязательных платежей</w:t>
            </w:r>
          </w:p>
        </w:tc>
        <w:tc>
          <w:tcPr>
            <w:tcW w:w="3686" w:type="dxa"/>
            <w:shd w:val="clear" w:color="auto" w:fill="auto"/>
          </w:tcPr>
          <w:p w:rsidR="00D74271" w:rsidRDefault="009600E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1143</w:t>
            </w:r>
            <w:r w:rsidR="003B1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3B1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из них: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916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асфальтирование,</w:t>
            </w:r>
          </w:p>
          <w:p w:rsidR="005264D4" w:rsidRPr="00D74271" w:rsidRDefault="009600E2" w:rsidP="00D7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 – благоустройс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во. 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Критерии оценки предложений подрядных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места подачи подрядными организ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пр.Сафьяновых дом 6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Срок подачи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 2017г.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9600E2" w:rsidP="0096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="005264D4"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2017г.</w:t>
            </w:r>
            <w:r w:rsidR="0027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</w:t>
            </w:r>
          </w:p>
        </w:tc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 д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полнительную информацию о порядке проведения отбора и выполняемых работах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 (391 32) 5-44-93 </w:t>
            </w:r>
          </w:p>
        </w:tc>
        <w:bookmarkStart w:id="0" w:name="_GoBack"/>
        <w:bookmarkEnd w:id="0"/>
      </w:tr>
      <w:tr w:rsidR="005264D4" w:rsidRPr="00516835" w:rsidTr="009600E2">
        <w:tc>
          <w:tcPr>
            <w:tcW w:w="709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86" w:type="dxa"/>
            <w:shd w:val="clear" w:color="auto" w:fill="auto"/>
          </w:tcPr>
          <w:p w:rsidR="005264D4" w:rsidRPr="00D74271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662610, Красноярский край, г</w:t>
            </w:r>
            <w:proofErr w:type="gramStart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инусинск, пр.Сафьяновых дом 6</w:t>
            </w:r>
          </w:p>
        </w:tc>
      </w:tr>
    </w:tbl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Требования, предъявляемые к подрядной организации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ликвидации подрядной организации и отсутствие процедур ба</w:t>
      </w:r>
      <w:r w:rsidRPr="002E0D57">
        <w:rPr>
          <w:rFonts w:ascii="Times New Roman" w:hAnsi="Times New Roman"/>
          <w:sz w:val="24"/>
          <w:szCs w:val="24"/>
        </w:rPr>
        <w:t>н</w:t>
      </w:r>
      <w:r w:rsidRPr="002E0D57">
        <w:rPr>
          <w:rFonts w:ascii="Times New Roman" w:hAnsi="Times New Roman"/>
          <w:sz w:val="24"/>
          <w:szCs w:val="24"/>
        </w:rPr>
        <w:t>кротства в отношении подрядной организации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юридического лица, индивидуального предпринимателя;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/>
          <w:sz w:val="24"/>
          <w:szCs w:val="24"/>
        </w:rPr>
        <w:t>т</w:t>
      </w:r>
      <w:r w:rsidRPr="002E0D57">
        <w:rPr>
          <w:rFonts w:ascii="Times New Roman" w:hAnsi="Times New Roman"/>
          <w:sz w:val="24"/>
          <w:szCs w:val="24"/>
        </w:rPr>
        <w:t xml:space="preserve">ренном </w:t>
      </w:r>
      <w:hyperlink r:id="rId7" w:history="1">
        <w:r w:rsidRPr="002E0D57">
          <w:rPr>
            <w:rFonts w:ascii="Times New Roman" w:hAnsi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3) отсутствие у подрядной организации задолженности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57">
        <w:rPr>
          <w:rFonts w:ascii="Times New Roman" w:hAnsi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4) наличие свидетельств о допуске </w:t>
      </w:r>
      <w:proofErr w:type="spellStart"/>
      <w:r w:rsidRPr="002E0D57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2E0D57">
        <w:rPr>
          <w:rFonts w:ascii="Times New Roman" w:hAnsi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ведение</w:t>
      </w:r>
      <w:r w:rsidRPr="002E0D57">
        <w:rPr>
          <w:rFonts w:ascii="Times New Roman" w:hAnsi="Times New Roman"/>
          <w:sz w:val="24"/>
          <w:szCs w:val="24"/>
        </w:rPr>
        <w:t xml:space="preserve"> соответствующих работ по капитальному ремонту со сроком действия до оконч</w:t>
      </w:r>
      <w:r w:rsidRPr="002E0D57">
        <w:rPr>
          <w:rFonts w:ascii="Times New Roman" w:hAnsi="Times New Roman"/>
          <w:sz w:val="24"/>
          <w:szCs w:val="24"/>
        </w:rPr>
        <w:t>а</w:t>
      </w:r>
      <w:r w:rsidRPr="002E0D57">
        <w:rPr>
          <w:rFonts w:ascii="Times New Roman" w:hAnsi="Times New Roman"/>
          <w:sz w:val="24"/>
          <w:szCs w:val="24"/>
        </w:rPr>
        <w:t>ния договора на выполнение работ, заключаемого по итогам отбора (в случае если оно н</w:t>
      </w:r>
      <w:r w:rsidRPr="002E0D57">
        <w:rPr>
          <w:rFonts w:ascii="Times New Roman" w:hAnsi="Times New Roman"/>
          <w:sz w:val="24"/>
          <w:szCs w:val="24"/>
        </w:rPr>
        <w:t>е</w:t>
      </w:r>
      <w:r w:rsidRPr="002E0D57">
        <w:rPr>
          <w:rFonts w:ascii="Times New Roman" w:hAnsi="Times New Roman"/>
          <w:sz w:val="24"/>
          <w:szCs w:val="24"/>
        </w:rPr>
        <w:t>обходимо для выполнения работ).</w:t>
      </w:r>
    </w:p>
    <w:p w:rsidR="005264D4" w:rsidRPr="002E0D57" w:rsidRDefault="005264D4">
      <w:pPr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br w:type="page"/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>к извещению</w:t>
      </w: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4D4" w:rsidRPr="002E0D57" w:rsidRDefault="005264D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57">
        <w:rPr>
          <w:rFonts w:ascii="Times New Roman" w:hAnsi="Times New Roman"/>
          <w:b/>
          <w:sz w:val="24"/>
          <w:szCs w:val="24"/>
        </w:rPr>
        <w:t>Критерии оценки предложений подрядных организаций</w:t>
      </w:r>
    </w:p>
    <w:p w:rsidR="005264D4" w:rsidRPr="002E0D57" w:rsidRDefault="005264D4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544"/>
        <w:gridCol w:w="2977"/>
      </w:tblGrid>
      <w:tr w:rsidR="005264D4" w:rsidRPr="00516835" w:rsidTr="00516835">
        <w:trPr>
          <w:tblHeader/>
        </w:trPr>
        <w:tc>
          <w:tcPr>
            <w:tcW w:w="2835" w:type="dxa"/>
          </w:tcPr>
          <w:p w:rsidR="005264D4" w:rsidRPr="00516835" w:rsidRDefault="005264D4" w:rsidP="00516835">
            <w:pPr>
              <w:pStyle w:val="a4"/>
              <w:spacing w:after="0" w:line="19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 xml:space="preserve">(в баллах) </w:t>
            </w:r>
          </w:p>
          <w:p w:rsidR="005264D4" w:rsidRPr="00516835" w:rsidRDefault="005264D4" w:rsidP="00516835">
            <w:pPr>
              <w:spacing w:after="0" w:line="192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5">
              <w:rPr>
                <w:rFonts w:ascii="Times New Roman" w:hAnsi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ж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3. Наличие штатных кв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ков рабочих специальн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до 6-ти штатных квалифицир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264D4" w:rsidRPr="00516835" w:rsidTr="00516835">
        <w:trPr>
          <w:trHeight w:val="48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10 и более штатных квалиф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и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цированных сотрудников раб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чей специальности </w:t>
            </w:r>
          </w:p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и инженерно-технических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4. Период осуществл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ния  деятельности в сф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11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35">
              <w:rPr>
                <w:rFonts w:ascii="Times New Roman" w:hAnsi="Times New Roman"/>
                <w:sz w:val="24"/>
                <w:szCs w:val="24"/>
              </w:rPr>
              <w:t>1 полный год</w:t>
            </w:r>
            <w:proofErr w:type="gramEnd"/>
            <w:r w:rsidRPr="00516835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5. Объемы выполненных работ за последние два года в сфере, предметом которой является отбор        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D4" w:rsidRPr="00516835" w:rsidTr="00516835"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104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выполнение работ на сумму б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673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6. Срок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для выполнения р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1339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spacing w:after="0"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подрядная организация, пре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730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101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35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 xml:space="preserve">получившей </w:t>
            </w:r>
          </w:p>
          <w:p w:rsidR="005264D4" w:rsidRPr="00516835" w:rsidRDefault="005264D4" w:rsidP="00516835">
            <w:pPr>
              <w:spacing w:after="0" w:line="235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35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чем предложе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7. Предложение учас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15 до 20%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5 до 10%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Снижение от 1 до 5%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Предложение равно начал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ь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ной максимальной цене дог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вора, Снижение до 1% от н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 w:val="restart"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8. Срок гарантийных обязательств на выпо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л</w:t>
            </w:r>
            <w:r w:rsidRPr="00516835">
              <w:rPr>
                <w:rFonts w:ascii="Times New Roman" w:hAnsi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5264D4" w:rsidRPr="00516835" w:rsidRDefault="005264D4" w:rsidP="00516835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0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</w:tr>
      <w:tr w:rsidR="005264D4" w:rsidRPr="00516835" w:rsidTr="00516835">
        <w:trPr>
          <w:trHeight w:val="557"/>
        </w:trPr>
        <w:tc>
          <w:tcPr>
            <w:tcW w:w="2835" w:type="dxa"/>
            <w:vMerge/>
          </w:tcPr>
          <w:p w:rsidR="005264D4" w:rsidRPr="00516835" w:rsidRDefault="005264D4" w:rsidP="00516835">
            <w:pPr>
              <w:pStyle w:val="a4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4D4" w:rsidRPr="00516835" w:rsidRDefault="005264D4" w:rsidP="0051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5264D4" w:rsidRPr="00516835" w:rsidRDefault="005264D4" w:rsidP="00516835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516835">
              <w:rPr>
                <w:rFonts w:ascii="Times New Roman" w:hAnsi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5264D4" w:rsidRPr="002E0D57" w:rsidRDefault="005264D4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E0D57">
        <w:rPr>
          <w:rFonts w:ascii="Times New Roman" w:hAnsi="Times New Roman"/>
          <w:sz w:val="24"/>
          <w:szCs w:val="24"/>
        </w:rPr>
        <w:tab/>
      </w:r>
    </w:p>
    <w:p w:rsidR="005264D4" w:rsidRPr="002E0D57" w:rsidRDefault="005264D4" w:rsidP="00782A8C">
      <w:pPr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</w:p>
    <w:sectPr w:rsidR="005264D4" w:rsidRPr="002E0D57" w:rsidSect="001E7C55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71" w:rsidRDefault="00D74271" w:rsidP="00B80FBF">
      <w:pPr>
        <w:spacing w:after="0" w:line="240" w:lineRule="auto"/>
      </w:pPr>
      <w:r>
        <w:separator/>
      </w:r>
    </w:p>
  </w:endnote>
  <w:endnote w:type="continuationSeparator" w:id="0">
    <w:p w:rsidR="00D74271" w:rsidRDefault="00D74271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71" w:rsidRDefault="00D74271" w:rsidP="00B80FBF">
      <w:pPr>
        <w:spacing w:after="0" w:line="240" w:lineRule="auto"/>
      </w:pPr>
      <w:r>
        <w:separator/>
      </w:r>
    </w:p>
  </w:footnote>
  <w:footnote w:type="continuationSeparator" w:id="0">
    <w:p w:rsidR="00D74271" w:rsidRDefault="00D74271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71" w:rsidRPr="00376A72" w:rsidRDefault="008203FB" w:rsidP="00376A72">
    <w:pPr>
      <w:pStyle w:val="a8"/>
      <w:jc w:val="center"/>
      <w:rPr>
        <w:rFonts w:ascii="Times New Roman" w:hAnsi="Times New Roman"/>
        <w:sz w:val="24"/>
        <w:szCs w:val="24"/>
      </w:rPr>
    </w:pPr>
    <w:r w:rsidRPr="00376A72">
      <w:rPr>
        <w:rFonts w:ascii="Times New Roman" w:hAnsi="Times New Roman"/>
        <w:sz w:val="24"/>
        <w:szCs w:val="24"/>
      </w:rPr>
      <w:fldChar w:fldCharType="begin"/>
    </w:r>
    <w:r w:rsidR="00D74271" w:rsidRPr="00376A72">
      <w:rPr>
        <w:rFonts w:ascii="Times New Roman" w:hAnsi="Times New Roman"/>
        <w:sz w:val="24"/>
        <w:szCs w:val="24"/>
      </w:rPr>
      <w:instrText>PAGE   \* MERGEFORMAT</w:instrText>
    </w:r>
    <w:r w:rsidRPr="00376A72">
      <w:rPr>
        <w:rFonts w:ascii="Times New Roman" w:hAnsi="Times New Roman"/>
        <w:sz w:val="24"/>
        <w:szCs w:val="24"/>
      </w:rPr>
      <w:fldChar w:fldCharType="separate"/>
    </w:r>
    <w:r w:rsidR="002745FC">
      <w:rPr>
        <w:rFonts w:ascii="Times New Roman" w:hAnsi="Times New Roman"/>
        <w:noProof/>
        <w:sz w:val="24"/>
        <w:szCs w:val="24"/>
      </w:rPr>
      <w:t>5</w:t>
    </w:r>
    <w:r w:rsidRPr="00376A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B6867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45FC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1150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48A9"/>
    <w:rsid w:val="0049114B"/>
    <w:rsid w:val="0049334F"/>
    <w:rsid w:val="00497933"/>
    <w:rsid w:val="00497CB1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16835"/>
    <w:rsid w:val="00524D3A"/>
    <w:rsid w:val="005264D4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5017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38F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B59B8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3FB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5CFF"/>
    <w:rsid w:val="00947F5A"/>
    <w:rsid w:val="00952B5D"/>
    <w:rsid w:val="00956096"/>
    <w:rsid w:val="009600E2"/>
    <w:rsid w:val="00983EF9"/>
    <w:rsid w:val="00984DDD"/>
    <w:rsid w:val="00987930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52A57"/>
    <w:rsid w:val="00D66044"/>
    <w:rsid w:val="00D71548"/>
    <w:rsid w:val="00D71765"/>
    <w:rsid w:val="00D74271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C577A"/>
    <w:rsid w:val="00EE0220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6F03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uiPriority w:val="99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uiPriority w:val="99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1CA5"/>
    <w:rPr>
      <w:rFonts w:ascii="Arial" w:hAnsi="Arial" w:cs="Times New Roman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locked/>
    <w:rsid w:val="00591CA5"/>
    <w:rPr>
      <w:rFonts w:ascii="Times New Roman" w:hAnsi="Times New Roman" w:cs="Times New Roman"/>
      <w:b/>
      <w:bCs/>
      <w:kern w:val="2"/>
      <w:sz w:val="30"/>
      <w:szCs w:val="30"/>
      <w:lang w:eastAsia="ar-SA" w:bidi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locked/>
    <w:rsid w:val="00591CA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91CA5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D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D7713"/>
    <w:pPr>
      <w:ind w:left="720"/>
      <w:contextualSpacing/>
    </w:pPr>
  </w:style>
  <w:style w:type="table" w:styleId="a5">
    <w:name w:val="Table Grid"/>
    <w:basedOn w:val="a2"/>
    <w:uiPriority w:val="99"/>
    <w:rsid w:val="00227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8">
    <w:name w:val="header"/>
    <w:basedOn w:val="a"/>
    <w:link w:val="a9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B80FBF"/>
    <w:rPr>
      <w:rFonts w:cs="Times New Roman"/>
    </w:rPr>
  </w:style>
  <w:style w:type="paragraph" w:styleId="aa">
    <w:name w:val="footer"/>
    <w:basedOn w:val="a"/>
    <w:link w:val="ab"/>
    <w:uiPriority w:val="99"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80FBF"/>
    <w:rPr>
      <w:rFonts w:cs="Times New Roman"/>
    </w:rPr>
  </w:style>
  <w:style w:type="table" w:customStyle="1" w:styleId="11">
    <w:name w:val="Сетка таблицы1"/>
    <w:uiPriority w:val="99"/>
    <w:rsid w:val="008511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c"/>
    <w:uiPriority w:val="99"/>
    <w:semiHidden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591C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D2F62F68B761D3AE58EFF5A450ECED133D73FABD647C8A84154DD50uF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Иваненкова Светлана Федоровна</dc:creator>
  <cp:keywords/>
  <dc:description/>
  <cp:lastModifiedBy>User</cp:lastModifiedBy>
  <cp:revision>18</cp:revision>
  <cp:lastPrinted>2017-05-12T08:24:00Z</cp:lastPrinted>
  <dcterms:created xsi:type="dcterms:W3CDTF">2017-05-15T03:38:00Z</dcterms:created>
  <dcterms:modified xsi:type="dcterms:W3CDTF">2017-05-17T03:58:00Z</dcterms:modified>
</cp:coreProperties>
</file>