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39" w:rsidRPr="005E4539" w:rsidRDefault="005E4539" w:rsidP="005E453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4539">
        <w:rPr>
          <w:rFonts w:ascii="Times New Roman" w:hAnsi="Times New Roman" w:cs="Times New Roman"/>
          <w:b/>
          <w:bCs/>
          <w:i/>
          <w:sz w:val="28"/>
          <w:szCs w:val="28"/>
        </w:rPr>
        <w:t>Поступившие замечания и предложения к проекту актуализации схем теплоснабжения муниципального образования город Минусинск на период 2025-2037 гг.</w:t>
      </w:r>
    </w:p>
    <w:p w:rsidR="005E4539" w:rsidRDefault="005E4539" w:rsidP="005E4539">
      <w:pPr>
        <w:rPr>
          <w:rFonts w:ascii="Times New Roman" w:hAnsi="Times New Roman" w:cs="Times New Roman"/>
          <w:bCs/>
          <w:sz w:val="28"/>
          <w:szCs w:val="28"/>
        </w:rPr>
      </w:pPr>
    </w:p>
    <w:p w:rsidR="005E4539" w:rsidRPr="005E4539" w:rsidRDefault="005E4539" w:rsidP="005E4539">
      <w:pPr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№ ФЗ-190 от 27.07.2010г. «О теплоснабжении» и постановлением Правительства Российской Федерации № 154 от 22.02.2012г. «О требованиях к схемам теплоснабжения, порядку их разработки и утверждения» в настоящее время проводится процедура актуализации схемы теплоснабжения. В период с 12.07.2024 по 01.08.2024 года включительно осуществлялся сбор предложений и замечаний к проекту схемы теплоснабжения.</w:t>
      </w:r>
    </w:p>
    <w:p w:rsidR="005E4539" w:rsidRPr="005E4539" w:rsidRDefault="005E4539" w:rsidP="005E4539">
      <w:pPr>
        <w:rPr>
          <w:rFonts w:ascii="Times New Roman" w:hAnsi="Times New Roman" w:cs="Times New Roman"/>
          <w:bCs/>
          <w:sz w:val="28"/>
          <w:szCs w:val="28"/>
        </w:rPr>
      </w:pPr>
    </w:p>
    <w:p w:rsidR="005E4539" w:rsidRPr="005E4539" w:rsidRDefault="005E4539" w:rsidP="005E453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ab/>
      </w:r>
      <w:r w:rsidRPr="005E4539">
        <w:rPr>
          <w:rFonts w:ascii="Times New Roman" w:hAnsi="Times New Roman" w:cs="Times New Roman"/>
          <w:b/>
          <w:bCs/>
          <w:i/>
          <w:sz w:val="28"/>
          <w:szCs w:val="28"/>
        </w:rPr>
        <w:t>Предложения и замечания, поступившие в адрес администрации</w:t>
      </w:r>
      <w:r w:rsidR="000A42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города Минусинска</w:t>
      </w:r>
    </w:p>
    <w:p w:rsidR="005E4539" w:rsidRPr="005E4539" w:rsidRDefault="005E4539" w:rsidP="005E453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>АО «Енисейская ТГК (ТГК-13)»</w:t>
      </w:r>
    </w:p>
    <w:p w:rsidR="005E4539" w:rsidRPr="005E4539" w:rsidRDefault="005E4539" w:rsidP="005E4539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13"/>
        <w:gridCol w:w="3519"/>
        <w:gridCol w:w="3119"/>
      </w:tblGrid>
      <w:tr w:rsidR="005E4539" w:rsidRPr="005E4539" w:rsidTr="009460A5">
        <w:tc>
          <w:tcPr>
            <w:tcW w:w="562" w:type="dxa"/>
          </w:tcPr>
          <w:p w:rsidR="005E4539" w:rsidRPr="005E4539" w:rsidRDefault="005E4539" w:rsidP="005E4539">
            <w:pPr>
              <w:spacing w:after="160" w:line="259" w:lineRule="auto"/>
              <w:rPr>
                <w:sz w:val="28"/>
                <w:szCs w:val="28"/>
              </w:rPr>
            </w:pPr>
            <w:r w:rsidRPr="005E4539">
              <w:rPr>
                <w:sz w:val="28"/>
                <w:szCs w:val="28"/>
              </w:rPr>
              <w:t>№ п/п</w:t>
            </w:r>
          </w:p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Раздел (глава), пункт, страница</w:t>
            </w:r>
          </w:p>
        </w:tc>
        <w:tc>
          <w:tcPr>
            <w:tcW w:w="3544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Существующая редакция</w:t>
            </w:r>
          </w:p>
        </w:tc>
        <w:tc>
          <w:tcPr>
            <w:tcW w:w="3141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Предлагаемая ре</w:t>
            </w:r>
            <w:bookmarkStart w:id="0" w:name="_GoBack"/>
            <w:bookmarkEnd w:id="0"/>
            <w:r w:rsidRPr="005E4539">
              <w:rPr>
                <w:bCs/>
                <w:sz w:val="28"/>
                <w:szCs w:val="28"/>
              </w:rPr>
              <w:t>дакция</w:t>
            </w:r>
          </w:p>
        </w:tc>
      </w:tr>
      <w:tr w:rsidR="005E4539" w:rsidRPr="005E4539" w:rsidTr="009460A5">
        <w:tc>
          <w:tcPr>
            <w:tcW w:w="9374" w:type="dxa"/>
            <w:gridSpan w:val="4"/>
          </w:tcPr>
          <w:p w:rsidR="005E4539" w:rsidRPr="005E4539" w:rsidRDefault="005E4539" w:rsidP="005E4539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Обосновывающие материалы</w:t>
            </w:r>
          </w:p>
        </w:tc>
      </w:tr>
      <w:tr w:rsidR="005E4539" w:rsidRPr="005E4539" w:rsidTr="009460A5">
        <w:tc>
          <w:tcPr>
            <w:tcW w:w="562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1</w:t>
            </w:r>
          </w:p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Глава 5, таблица 4.3, страница 25</w:t>
            </w:r>
          </w:p>
        </w:tc>
        <w:tc>
          <w:tcPr>
            <w:tcW w:w="3544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Суммарное по всем строкам таблицы значение по столбцу «ИТОГО без НДС, руб.» - 53 956 658,72</w:t>
            </w:r>
          </w:p>
        </w:tc>
        <w:tc>
          <w:tcPr>
            <w:tcW w:w="3141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Суммарное по всем строкам таблицы значение по столбцу «ИТОГО без НДС, руб.» - 33 279 707,65</w:t>
            </w:r>
          </w:p>
        </w:tc>
      </w:tr>
      <w:tr w:rsidR="005E4539" w:rsidRPr="005E4539" w:rsidTr="009460A5">
        <w:tc>
          <w:tcPr>
            <w:tcW w:w="562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Глава 5, таблица 4.3, страница 25</w:t>
            </w:r>
          </w:p>
        </w:tc>
        <w:tc>
          <w:tcPr>
            <w:tcW w:w="3544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Суммарное по всем строкам таблицы значение по столбцу «ИТОГО с НДС, руб.» - 64 747 990,46</w:t>
            </w:r>
          </w:p>
        </w:tc>
        <w:tc>
          <w:tcPr>
            <w:tcW w:w="3141" w:type="dxa"/>
          </w:tcPr>
          <w:p w:rsidR="005E4539" w:rsidRPr="005E4539" w:rsidRDefault="005E4539" w:rsidP="005E453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5E4539">
              <w:rPr>
                <w:bCs/>
                <w:sz w:val="28"/>
                <w:szCs w:val="28"/>
              </w:rPr>
              <w:t>Суммарное по всем строкам таблицы значение по столбцу «ИТОГО с НДС, руб.» - 39 935 649,22</w:t>
            </w:r>
          </w:p>
        </w:tc>
      </w:tr>
    </w:tbl>
    <w:p w:rsidR="005E4539" w:rsidRPr="005E4539" w:rsidRDefault="005E4539" w:rsidP="005E4539">
      <w:pPr>
        <w:rPr>
          <w:rFonts w:ascii="Times New Roman" w:hAnsi="Times New Roman" w:cs="Times New Roman"/>
          <w:bCs/>
          <w:sz w:val="28"/>
          <w:szCs w:val="28"/>
        </w:rPr>
      </w:pPr>
    </w:p>
    <w:p w:rsidR="005E4539" w:rsidRPr="005E4539" w:rsidRDefault="005E4539" w:rsidP="005E4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39">
        <w:rPr>
          <w:rFonts w:ascii="Times New Roman" w:hAnsi="Times New Roman" w:cs="Times New Roman"/>
          <w:b/>
          <w:bCs/>
          <w:sz w:val="28"/>
          <w:szCs w:val="28"/>
        </w:rPr>
        <w:t>ООО «Тепловые сети»</w:t>
      </w:r>
    </w:p>
    <w:p w:rsidR="005E4539" w:rsidRPr="005E4539" w:rsidRDefault="005E4539" w:rsidP="005E45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Включение ООО «Тепловые сети» в актуализацию схем теплоснабжения муниципального образования город Минусинск на период 2025-2037 гг. Организация ООО «Тепловые сети» расположена на территории города </w:t>
      </w:r>
      <w:r w:rsidRPr="005E4539">
        <w:rPr>
          <w:rFonts w:ascii="Times New Roman" w:hAnsi="Times New Roman" w:cs="Times New Roman"/>
          <w:bCs/>
          <w:sz w:val="28"/>
          <w:szCs w:val="28"/>
        </w:rPr>
        <w:lastRenderedPageBreak/>
        <w:t>Минусинска по адресу Красноярский край г. Минусинск ул. Лесная,27. Генеральный директор ООО «Тепловые сети»- Бахов Андрей Олегович. Организация владеет на основании договора аренды тепловыми сетями протяженностью более 500 м, диаметр труб -89 мм. Указанная тепловая сеть расположена в г. Минусинске микрорайон «Лесной» и находится в эксплуатации с 2022 года.</w:t>
      </w:r>
    </w:p>
    <w:p w:rsidR="005E4539" w:rsidRPr="005E4539" w:rsidRDefault="005E4539" w:rsidP="005E4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539" w:rsidRPr="005E4539" w:rsidRDefault="005E4539" w:rsidP="005E4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39">
        <w:rPr>
          <w:rFonts w:ascii="Times New Roman" w:hAnsi="Times New Roman" w:cs="Times New Roman"/>
          <w:b/>
          <w:bCs/>
          <w:sz w:val="28"/>
          <w:szCs w:val="28"/>
        </w:rPr>
        <w:t>МУП г. Минусинска «</w:t>
      </w:r>
      <w:proofErr w:type="spellStart"/>
      <w:r w:rsidRPr="005E4539">
        <w:rPr>
          <w:rFonts w:ascii="Times New Roman" w:hAnsi="Times New Roman" w:cs="Times New Roman"/>
          <w:b/>
          <w:bCs/>
          <w:sz w:val="28"/>
          <w:szCs w:val="28"/>
        </w:rPr>
        <w:t>Горводоканал</w:t>
      </w:r>
      <w:proofErr w:type="spellEnd"/>
      <w:r w:rsidRPr="005E45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4539" w:rsidRPr="005E4539" w:rsidRDefault="005E4539" w:rsidP="005E4539">
      <w:pPr>
        <w:rPr>
          <w:rFonts w:ascii="Times New Roman" w:hAnsi="Times New Roman" w:cs="Times New Roman"/>
          <w:bCs/>
          <w:sz w:val="28"/>
          <w:szCs w:val="28"/>
        </w:rPr>
      </w:pPr>
    </w:p>
    <w:p w:rsidR="005E4539" w:rsidRP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Предоставленная актуализированная схема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теплоснаожения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соотвествует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требованиям, утвержденным постановлением Правительства РФ №154 от 22.02.2012г, а именно: не обеспечивает развитие и надежное теплоснабжение при минимальном вредном воздействии на окружающую среду.</w:t>
      </w:r>
    </w:p>
    <w:p w:rsidR="005E4539" w:rsidRP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>Реализация первого варианта невозможна по причине отсутствия источников финансирования для его реализации, т.к. при разработке инвестиционной программы в сфере теплоснабжения для МУП г. Минусинска «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Горводоканал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>» с включением в нее затрат на реконструкцию котельной Суворова, 23в при существующем объеме НВВ (необходимая валовая выручка) и допустимом предельном уровне роста тарифа на тепловую энергию, получение необходимых инвестиций выйдет за границы 10 лет.</w:t>
      </w:r>
    </w:p>
    <w:p w:rsidR="005E4539" w:rsidRPr="005E4539" w:rsidRDefault="005E4539" w:rsidP="005E453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Текущее положение дел - тариф на тепловую энергию, поставляемую потребителям муниципальным унитарным предприятием города Минусинска «Городской водоканал» установленный с 01.12.2022 по 31.12.2023 (приказ МТП Красноярского края от 23.11.22г № 378-п) в размере 2740,35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/Гкал (с НДС), не обеспечивает в полном объеме возмещение экономически обоснованных затрат, что привело к убыткам предприятия в сфере теплоснабжения за 2023 год в сумме 6,05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>. Реконструкция котельной Суворова, 23в не изменит текущее состояние дел и не снизит вредное воздействие на окружающую среду.</w:t>
      </w:r>
    </w:p>
    <w:p w:rsidR="005E4539" w:rsidRP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В случае же реализации варианта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переподключения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микрорайона   </w:t>
      </w:r>
      <w:proofErr w:type="gramStart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ТУСМ-4» непосредственно к тепловым сетям Минусинской ТЭЦ и включения затрат на мероприятия в корректировку инвестиционной программы АО «Енисейская территориальная генерирующая компания (ТГК-13) в сфере  теплоснабжения города Минусинска позволит реализовать это мероприятие в 2025-2026 годах, с выводом котельной по ул.Суворова,23 в 2026 году. Затраты на реализацию развития сценариев не содержат ссылки на обосновывающий документ для расчета, как в предыдущих вариантах схем в 2024 г, согласно НЦС 81-02-19-2023 (Сборник № 19. Здания и сооружения </w:t>
      </w:r>
      <w:r w:rsidRPr="005E45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городской инфраструктуры) НЦС 81-02-13-2023 (Сборник № 13. «Наружные тепловые сети»). </w:t>
      </w:r>
    </w:p>
    <w:p w:rsidR="005E4539" w:rsidRPr="005E4539" w:rsidRDefault="005E4539" w:rsidP="005E4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539">
        <w:rPr>
          <w:rFonts w:ascii="Times New Roman" w:hAnsi="Times New Roman" w:cs="Times New Roman"/>
          <w:b/>
          <w:bCs/>
          <w:sz w:val="28"/>
          <w:szCs w:val="28"/>
        </w:rPr>
        <w:t>ООО «Ермак»</w:t>
      </w:r>
    </w:p>
    <w:p w:rsidR="005E4539" w:rsidRPr="005E4539" w:rsidRDefault="005E4539" w:rsidP="005E4539">
      <w:pPr>
        <w:rPr>
          <w:rFonts w:ascii="Times New Roman" w:hAnsi="Times New Roman" w:cs="Times New Roman"/>
          <w:bCs/>
          <w:sz w:val="28"/>
          <w:szCs w:val="28"/>
        </w:rPr>
      </w:pPr>
    </w:p>
    <w:p w:rsidR="005E4539" w:rsidRPr="005E4539" w:rsidRDefault="005E4539" w:rsidP="005E4539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E6653" w:rsidRPr="005E4539">
        <w:rPr>
          <w:rFonts w:ascii="Times New Roman" w:hAnsi="Times New Roman" w:cs="Times New Roman"/>
          <w:bCs/>
          <w:sz w:val="28"/>
          <w:szCs w:val="28"/>
        </w:rPr>
        <w:t xml:space="preserve">Не учтены предложения ООО «Ермак» исх. № 38 от 04.03.2024г. и исх.№ 71 от 11.04.2024г. направленные в адрес Администрации г. Минусинска </w:t>
      </w:r>
      <w:proofErr w:type="spellStart"/>
      <w:r w:rsidR="009E6653" w:rsidRPr="005E4539">
        <w:rPr>
          <w:rFonts w:ascii="Times New Roman" w:hAnsi="Times New Roman" w:cs="Times New Roman"/>
          <w:bCs/>
          <w:sz w:val="28"/>
          <w:szCs w:val="28"/>
        </w:rPr>
        <w:t>вх</w:t>
      </w:r>
      <w:proofErr w:type="spellEnd"/>
      <w:r w:rsidR="009E6653" w:rsidRPr="005E4539">
        <w:rPr>
          <w:rFonts w:ascii="Times New Roman" w:hAnsi="Times New Roman" w:cs="Times New Roman"/>
          <w:bCs/>
          <w:sz w:val="28"/>
          <w:szCs w:val="28"/>
        </w:rPr>
        <w:t xml:space="preserve">. б/н от 04.03.2024г. и </w:t>
      </w:r>
      <w:proofErr w:type="spellStart"/>
      <w:r w:rsidR="009E6653" w:rsidRPr="005E4539">
        <w:rPr>
          <w:rFonts w:ascii="Times New Roman" w:hAnsi="Times New Roman" w:cs="Times New Roman"/>
          <w:bCs/>
          <w:sz w:val="28"/>
          <w:szCs w:val="28"/>
        </w:rPr>
        <w:t>вх</w:t>
      </w:r>
      <w:proofErr w:type="spellEnd"/>
      <w:r w:rsidR="009E6653" w:rsidRPr="005E4539">
        <w:rPr>
          <w:rFonts w:ascii="Times New Roman" w:hAnsi="Times New Roman" w:cs="Times New Roman"/>
          <w:bCs/>
          <w:sz w:val="28"/>
          <w:szCs w:val="28"/>
        </w:rPr>
        <w:t>. б/н от 11.04.2024г. (копии писем прилагаются).</w:t>
      </w:r>
    </w:p>
    <w:p w:rsidR="005E4539" w:rsidRPr="005E4539" w:rsidRDefault="009E6653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 2. Не учтено предложение ООО «Ермак» о вын</w:t>
      </w:r>
      <w:r w:rsidRPr="005E4539">
        <w:rPr>
          <w:rFonts w:ascii="Times New Roman" w:hAnsi="Times New Roman" w:cs="Times New Roman"/>
          <w:bCs/>
          <w:sz w:val="28"/>
          <w:szCs w:val="28"/>
        </w:rPr>
        <w:t xml:space="preserve">осе (строительстве) тепловой сети в </w:t>
      </w:r>
      <w:proofErr w:type="spellStart"/>
      <w:proofErr w:type="gramStart"/>
      <w:r w:rsidRPr="005E4539">
        <w:rPr>
          <w:rFonts w:ascii="Times New Roman" w:hAnsi="Times New Roman" w:cs="Times New Roman"/>
          <w:bCs/>
          <w:sz w:val="28"/>
          <w:szCs w:val="28"/>
        </w:rPr>
        <w:t>пос.</w:t>
      </w:r>
      <w:r w:rsidRPr="005E4539">
        <w:rPr>
          <w:rFonts w:ascii="Times New Roman" w:hAnsi="Times New Roman" w:cs="Times New Roman"/>
          <w:bCs/>
          <w:sz w:val="28"/>
          <w:szCs w:val="28"/>
        </w:rPr>
        <w:t>Зеленый</w:t>
      </w:r>
      <w:proofErr w:type="spellEnd"/>
      <w:proofErr w:type="gram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Бор по ул. Боровая от жилого дома по ул. Боровая, 40 до жилого дома по ул. Боровая, 62 из под жилой застройки, в период 2025 - 2028гг. </w:t>
      </w:r>
    </w:p>
    <w:p w:rsidR="005E4539" w:rsidRPr="005E4539" w:rsidRDefault="009E6653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3. Не учтено предложение ООО «Ермак» о реконструкции участка тепловой сети по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ул.</w:t>
      </w:r>
      <w:r w:rsidR="005E4539" w:rsidRPr="005E4539">
        <w:rPr>
          <w:rFonts w:ascii="Times New Roman" w:hAnsi="Times New Roman" w:cs="Times New Roman"/>
          <w:bCs/>
          <w:sz w:val="28"/>
          <w:szCs w:val="28"/>
        </w:rPr>
        <w:t>Гоголя</w:t>
      </w:r>
      <w:proofErr w:type="spellEnd"/>
      <w:r w:rsidR="005E4539" w:rsidRPr="005E4539">
        <w:rPr>
          <w:rFonts w:ascii="Times New Roman" w:hAnsi="Times New Roman" w:cs="Times New Roman"/>
          <w:bCs/>
          <w:sz w:val="28"/>
          <w:szCs w:val="28"/>
        </w:rPr>
        <w:t xml:space="preserve"> от ТК Ко-16 на ул. Комсомольская до ТК Г-4 по ул. Гоголя в районе ж/д Гоголя, 36 с увеличением диаметра трубопроводов с 0 100 мм на 0 150 мм, в период с 2028г. по 2029г. </w:t>
      </w:r>
    </w:p>
    <w:p w:rsid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>4. Исключить из таблицы 4.1 «Перечень участков тепловых сетей в зоне деятельности ЕТО АО «Енисейская ТГК (ТГК-13)», рекомендуемых к замене в связи с исчерпанием эксплуатационного ресурса, а также для обеспечения нормативной надежности теплоснабжения потребителей», Глава 5 «Мастер - план развития систем теплоснабжения», Схемы теплоснабжения города Минусинска на период до 2037 года (актуализация на 2025 год) тепловые сети эксплуатируемые ООО «Ермак» (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выкопировки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листов (с 19 по 23) Таблица 4.1., Глава 5 прилагаются), т. к. на перечисленных в вышеуказанной таблице тепловых сетях эксплуатируемых ООО «Ермак» проведен капитальный ремонт и (или) проведена экспертиза промышленной безопасности с заключением о соответствии требованиям промышленной безопасности и возможностью дальнейшей эксплуатации на прежних параметрах.</w:t>
      </w:r>
    </w:p>
    <w:p w:rsidR="005E4539" w:rsidRP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 5. Исключить таблицу 4.3. «Приоритетные объемы работ по строительству новых сетей/замещение наиболее критичных участков тепловых сетей ООО «Ермак» с низкой степенью надежности», Глава 5 «Мастер - план развития систем теплоснабжения», Схемы теплоснабжения города Минусинска на период до 2037 года (актуализация на 2025 год) (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выкопировка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листов 24,25 Таблица 4.3., Глава 5 прилагается), т. к. на перечисленных в вышеуказанной таблице тепловых сетях эксплуатируемых ООО «Ермак» проведен капитальный ремонт и (или) проведена экспертиза промышленной безопасности с заключением о соответствии требованиям промышленной безопасности и возможностью дальнейшей эксплуатации на прежних параметрах. </w:t>
      </w:r>
    </w:p>
    <w:p w:rsidR="005E4539" w:rsidRP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6. Исключить из Главы 8 «Предложения по строительству, реконструкции и (или) модернизации тепловых сетей», Схемы </w:t>
      </w:r>
      <w:r w:rsidRPr="005E45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теплоснабжения города Минусинска на период до 2037 года (актуализация на 2025 год), те же самые участки тепловых сетей, указанные для Главы 5. </w:t>
      </w:r>
    </w:p>
    <w:p w:rsidR="005E4539" w:rsidRP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7. В Глава 11 «Оценка надежности теплоснабжения», Схемы теплоснабжения города Минусинска на период до 2037 года (актуализация на 2025 год) недостоверно указаны периоды эксплуатации тепловых сетей, эксплуатируемых ООО «Ермак», в связи с чем оценка надежности теплоснабжения является необъективной. </w:t>
      </w:r>
    </w:p>
    <w:p w:rsidR="005E4539" w:rsidRPr="005E4539" w:rsidRDefault="005E4539" w:rsidP="005E453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8. В Главе 1 «Существующее положение в сфере производства, передачи и потребления тепловой энергии для целей теплоснабжения», Схемы теплоснабжения города Минусинска на период до 2037 года (актуализация на 2025 год) представлен «Температурный график 150-70°С (со срезкой на 114°С) регулирования температуры сетевой воды для источника теплоты филиала «Минусинская ТЭЦ» АО «Енисейская ТГК (ТГК-13)» в отопительный период 2023-2024гг. Согласно разъяснений Федеральной службы по экологическому, технологическому и атомному надзору, цитата, - “Изменение «графиков регулирования отпуска тепловой энергии», предусматривающее снижение параметров теплоносителя, приводит к изменению режимов работы источника тепловой энергии и тепловой сети с отклонением от параметров и режимов работы с которыми они изначально проектировались. Снижение параметров работы трубопроводов тепловой сети без проведения расчетов и внесения изменений в проектную документацию и конструкцию тепловой сети либо отдельных ее элементов, узлов, участков (при необходимости определяемой проектом) являются нарушением требований законодательства Российской Федерации”. </w:t>
      </w:r>
    </w:p>
    <w:p w:rsidR="005E4539" w:rsidRPr="005E4539" w:rsidRDefault="005E4539" w:rsidP="005E453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9. В соответствии с п.6 главы I Требований к порядку разработки и утверждения схем теплоснабжения утв. Постановлением Правительства РФ от 22 февраля 2012 г. N 154, подп. «м» п.31 Требований к схемам теплоснабжения утв. Постановлением Правительства РФ от 22 февраля 2012 г. №154 внести в Проект актуализированной на 2025 год схемы теплоснабжения г. Минусинска на период до 2037 года главу (раздел): «Описание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сетей». В главе (раздел): «Описание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сетей», установить обязательным к исполнению теплоснабжающих и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теплосетевых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организаций, одну из двух, нижеприведенных процедур гидравлического испытания тепловых сетей на плотность и прочностью на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терри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тории Муниципального образования г. Минусинска: Первая процедура: При гидравлическом испытании на прочность и плотность давление в тепловой сети доводится до </w:t>
      </w:r>
      <w:r w:rsidRPr="005E453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значения пробного давления за счет давления, развиваемого сетевым насосом источника тепла Минусинской ТЭЦ АО «Енисейская ТГК (ТГК-13)»; Вторая процедура: При гидравлическом испытании на прочность и плотность давление в тепловой сети доводится до значения пробного давления за счет давления от передвижной насосной установки АО «Енисейская ТГК (ТГК-13)» В случае установления в главе (раздел): «Описание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темперагурных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, на тепловые потери) тепловых сетей», второй процедуры гидравлического испытания, установить обязательное условия для ее применения, указав что до момента полного исполнения обязательного условия,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гидровлические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испытания тепловых сетей должны проводиться от сетевого насоса источника тепла Минусинской ТЭЦ АО «Енисейская ТГК (ТГК-13)»: Обязательное условие: Проектирование, строительство, ввод в эксплуатацию и передача в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правообладание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теплосетевой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организации ООО «Ермак» 164-х тепловых камер, обеспечивающих технологический доступ к 164-м участкам тепловых сетей, к которым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теплосетевая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 организации ООО «Ермак» не имеет в настоящие время технологического доступа для подключения передвижной насосной установки. Локальный сметный расчет (смета) стоимости одной тепловой камеры (379,91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тыс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E4539">
        <w:rPr>
          <w:rFonts w:ascii="Times New Roman" w:hAnsi="Times New Roman" w:cs="Times New Roman"/>
          <w:bCs/>
          <w:sz w:val="28"/>
          <w:szCs w:val="28"/>
        </w:rPr>
        <w:t>руб</w:t>
      </w:r>
      <w:proofErr w:type="spellEnd"/>
      <w:r w:rsidRPr="005E4539">
        <w:rPr>
          <w:rFonts w:ascii="Times New Roman" w:hAnsi="Times New Roman" w:cs="Times New Roman"/>
          <w:bCs/>
          <w:sz w:val="28"/>
          <w:szCs w:val="28"/>
        </w:rPr>
        <w:t>), в ценах на дату настоящего документа прилагаю к настоящему документу. Перечень участков тепловой сети, требующих строительство тепловых камер, приведен ниже.</w:t>
      </w:r>
    </w:p>
    <w:p w:rsidR="005E4539" w:rsidRPr="005E4539" w:rsidRDefault="005E4539" w:rsidP="005E45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539">
        <w:rPr>
          <w:rFonts w:ascii="Times New Roman" w:hAnsi="Times New Roman" w:cs="Times New Roman"/>
          <w:bCs/>
          <w:sz w:val="28"/>
          <w:szCs w:val="28"/>
        </w:rPr>
        <w:t xml:space="preserve">Приложение. </w:t>
      </w:r>
    </w:p>
    <w:p w:rsidR="005E4539" w:rsidRPr="005E4539" w:rsidRDefault="005E4539" w:rsidP="005E453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539" w:rsidRPr="005E4539" w:rsidRDefault="005E4539" w:rsidP="005E4539">
      <w:pPr>
        <w:jc w:val="both"/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5E4539" w:rsidRPr="005E4539" w:rsidRDefault="005E4539" w:rsidP="005E4539">
      <w:pPr>
        <w:rPr>
          <w:bCs/>
        </w:rPr>
      </w:pPr>
    </w:p>
    <w:p w:rsidR="00A954BB" w:rsidRDefault="00A954BB"/>
    <w:sectPr w:rsidR="00A9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14017"/>
    <w:multiLevelType w:val="hybridMultilevel"/>
    <w:tmpl w:val="0FE4FF64"/>
    <w:lvl w:ilvl="0" w:tplc="60E0F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363719"/>
    <w:multiLevelType w:val="hybridMultilevel"/>
    <w:tmpl w:val="A142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12"/>
    <w:rsid w:val="000A4253"/>
    <w:rsid w:val="002117C3"/>
    <w:rsid w:val="00345212"/>
    <w:rsid w:val="005E4539"/>
    <w:rsid w:val="009E6653"/>
    <w:rsid w:val="00A9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4D4E"/>
  <w15:chartTrackingRefBased/>
  <w15:docId w15:val="{1174607E-03BE-49E6-89E5-71422533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2024-08-02T07:36:00Z</dcterms:created>
  <dcterms:modified xsi:type="dcterms:W3CDTF">2024-08-02T08:40:00Z</dcterms:modified>
</cp:coreProperties>
</file>