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tbl>
      <w:tblPr>
        <w:tblW w:w="0" w:type="auto"/>
        <w:jc w:val="left"/>
        <w:tblInd w:w="1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5"/>
        <w:gridCol w:w="5186"/>
        <w:gridCol w:w="4126"/>
      </w:tblGrid>
      <w:tr>
        <w:trPr>
          <w:trHeight w:val="560" w:hRule="atLeast"/>
        </w:trPr>
        <w:tc>
          <w:tcPr>
            <w:tcW w:w="10157" w:type="dxa"/>
            <w:gridSpan w:val="3"/>
            <w:tcBorders>
              <w:bottom w:val="nil"/>
            </w:tcBorders>
          </w:tcPr>
          <w:p>
            <w:pPr>
              <w:pStyle w:val="TableParagraph"/>
              <w:spacing w:before="140"/>
              <w:ind w:left="2081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ОПИСАНИЕ МЕСТОПОЛОЖЕНИЯ ГРАНИЦ</w:t>
            </w:r>
          </w:p>
        </w:tc>
      </w:tr>
      <w:tr>
        <w:trPr>
          <w:trHeight w:val="2900" w:hRule="atLeast"/>
        </w:trPr>
        <w:tc>
          <w:tcPr>
            <w:tcW w:w="10157" w:type="dxa"/>
            <w:gridSpan w:val="3"/>
            <w:tcBorders>
              <w:top w:val="nil"/>
              <w:bottom w:val="single" w:sz="2" w:space="0" w:color="000000"/>
            </w:tcBorders>
          </w:tcPr>
          <w:p>
            <w:pPr>
              <w:pStyle w:val="TableParagraph"/>
              <w:spacing w:line="228" w:lineRule="auto" w:before="102"/>
              <w:ind w:left="92" w:right="84"/>
              <w:rPr>
                <w:b/>
                <w:sz w:val="28"/>
              </w:rPr>
            </w:pPr>
            <w:r>
              <w:rPr>
                <w:b/>
                <w:spacing w:val="-3"/>
                <w:sz w:val="28"/>
              </w:rPr>
              <w:t>публичного сервитута </w:t>
            </w:r>
            <w:r>
              <w:rPr>
                <w:b/>
                <w:sz w:val="28"/>
              </w:rPr>
              <w:t>для </w:t>
            </w:r>
            <w:r>
              <w:rPr>
                <w:b/>
                <w:spacing w:val="-3"/>
                <w:sz w:val="28"/>
              </w:rPr>
              <w:t>складирования строительных </w:t>
            </w:r>
            <w:r>
              <w:rPr>
                <w:b/>
                <w:sz w:val="28"/>
              </w:rPr>
              <w:t>и </w:t>
            </w:r>
            <w:r>
              <w:rPr>
                <w:b/>
                <w:spacing w:val="-3"/>
                <w:sz w:val="28"/>
              </w:rPr>
              <w:t>иных материалов, размещения временных </w:t>
            </w:r>
            <w:r>
              <w:rPr>
                <w:b/>
                <w:spacing w:val="-2"/>
                <w:sz w:val="28"/>
              </w:rPr>
              <w:t>или </w:t>
            </w:r>
            <w:r>
              <w:rPr>
                <w:b/>
                <w:spacing w:val="-3"/>
                <w:sz w:val="28"/>
              </w:rPr>
              <w:t>вспомогательных сооружений (включая ограждения, бытовки, навесы) </w:t>
            </w:r>
            <w:r>
              <w:rPr>
                <w:b/>
                <w:sz w:val="28"/>
              </w:rPr>
              <w:t>и </w:t>
            </w:r>
            <w:r>
              <w:rPr>
                <w:b/>
                <w:spacing w:val="-3"/>
                <w:sz w:val="28"/>
              </w:rPr>
              <w:t>(или) строительной техники, которые необходимы </w:t>
            </w:r>
            <w:r>
              <w:rPr>
                <w:b/>
                <w:sz w:val="28"/>
              </w:rPr>
              <w:t>для </w:t>
            </w:r>
            <w:r>
              <w:rPr>
                <w:b/>
                <w:spacing w:val="-3"/>
                <w:sz w:val="28"/>
              </w:rPr>
              <w:t>обеспечения строительства, реконструкции, ремонта объектов транспортной инфраструктуры федерального, регионального </w:t>
            </w:r>
            <w:r>
              <w:rPr>
                <w:b/>
                <w:spacing w:val="-2"/>
                <w:sz w:val="28"/>
              </w:rPr>
              <w:t>или </w:t>
            </w:r>
            <w:r>
              <w:rPr>
                <w:b/>
                <w:spacing w:val="-3"/>
                <w:sz w:val="28"/>
              </w:rPr>
              <w:t>местного значения, </w:t>
            </w:r>
            <w:r>
              <w:rPr>
                <w:b/>
                <w:sz w:val="28"/>
              </w:rPr>
              <w:t>на срок </w:t>
            </w:r>
            <w:r>
              <w:rPr>
                <w:b/>
                <w:spacing w:val="-3"/>
                <w:sz w:val="28"/>
              </w:rPr>
              <w:t>указанных строительства, реконструкции, ремонта при реализации объекта: «Второй </w:t>
            </w:r>
            <w:r>
              <w:rPr>
                <w:b/>
                <w:sz w:val="28"/>
              </w:rPr>
              <w:t>путь на </w:t>
            </w:r>
            <w:r>
              <w:rPr>
                <w:b/>
                <w:spacing w:val="-3"/>
                <w:sz w:val="28"/>
              </w:rPr>
              <w:t>перегоне Подсиний-Минусинск Красноярской железной дороги. </w:t>
            </w:r>
            <w:r>
              <w:rPr>
                <w:b/>
                <w:sz w:val="28"/>
              </w:rPr>
              <w:t>2 этап - </w:t>
            </w:r>
            <w:r>
              <w:rPr>
                <w:b/>
                <w:spacing w:val="-3"/>
                <w:sz w:val="28"/>
              </w:rPr>
              <w:t>строительство второго </w:t>
            </w:r>
            <w:r>
              <w:rPr>
                <w:b/>
                <w:sz w:val="28"/>
              </w:rPr>
              <w:t>пути на </w:t>
            </w:r>
            <w:r>
              <w:rPr>
                <w:b/>
                <w:spacing w:val="-3"/>
                <w:sz w:val="28"/>
              </w:rPr>
              <w:t>перегоне Подсиний </w:t>
            </w:r>
            <w:r>
              <w:rPr>
                <w:b/>
                <w:sz w:val="28"/>
              </w:rPr>
              <w:t>- </w:t>
            </w:r>
            <w:r>
              <w:rPr>
                <w:b/>
                <w:spacing w:val="-4"/>
                <w:sz w:val="28"/>
              </w:rPr>
              <w:t>Минусинск»</w:t>
            </w:r>
          </w:p>
        </w:tc>
      </w:tr>
      <w:tr>
        <w:trPr>
          <w:trHeight w:val="320" w:hRule="atLeast"/>
        </w:trPr>
        <w:tc>
          <w:tcPr>
            <w:tcW w:w="10157" w:type="dxa"/>
            <w:gridSpan w:val="3"/>
            <w:tcBorders>
              <w:top w:val="single" w:sz="2" w:space="0" w:color="000000"/>
            </w:tcBorders>
          </w:tcPr>
          <w:p>
            <w:pPr>
              <w:pStyle w:val="TableParagraph"/>
              <w:spacing w:line="176" w:lineRule="exact"/>
              <w:ind w:left="2276"/>
              <w:jc w:val="left"/>
              <w:rPr>
                <w:sz w:val="16"/>
              </w:rPr>
            </w:pPr>
            <w:r>
              <w:rPr>
                <w:sz w:val="16"/>
              </w:rPr>
              <w:t>(наименование объекта, местоположение границ которого описано (далее - объект))</w:t>
            </w:r>
          </w:p>
        </w:tc>
      </w:tr>
      <w:tr>
        <w:trPr>
          <w:trHeight w:val="420" w:hRule="atLeast"/>
        </w:trPr>
        <w:tc>
          <w:tcPr>
            <w:tcW w:w="10157" w:type="dxa"/>
            <w:gridSpan w:val="3"/>
          </w:tcPr>
          <w:p>
            <w:pPr>
              <w:pStyle w:val="TableParagraph"/>
              <w:spacing w:before="46"/>
              <w:ind w:left="92" w:right="84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 1</w:t>
            </w:r>
          </w:p>
        </w:tc>
      </w:tr>
      <w:tr>
        <w:trPr>
          <w:trHeight w:val="440" w:hRule="atLeast"/>
        </w:trPr>
        <w:tc>
          <w:tcPr>
            <w:tcW w:w="10157" w:type="dxa"/>
            <w:gridSpan w:val="3"/>
          </w:tcPr>
          <w:p>
            <w:pPr>
              <w:pStyle w:val="TableParagraph"/>
              <w:spacing w:before="54"/>
              <w:ind w:left="92" w:right="84"/>
              <w:rPr>
                <w:b/>
                <w:sz w:val="28"/>
              </w:rPr>
            </w:pPr>
            <w:r>
              <w:rPr>
                <w:b/>
                <w:sz w:val="28"/>
              </w:rPr>
              <w:t>Сведения об объекте</w:t>
            </w:r>
          </w:p>
        </w:tc>
      </w:tr>
      <w:tr>
        <w:trPr>
          <w:trHeight w:val="420" w:hRule="atLeast"/>
        </w:trPr>
        <w:tc>
          <w:tcPr>
            <w:tcW w:w="845" w:type="dxa"/>
          </w:tcPr>
          <w:p>
            <w:pPr>
              <w:pStyle w:val="TableParagraph"/>
              <w:spacing w:before="83"/>
              <w:ind w:left="101" w:right="97"/>
              <w:rPr>
                <w:b/>
                <w:sz w:val="22"/>
              </w:rPr>
            </w:pPr>
            <w:r>
              <w:rPr>
                <w:b/>
                <w:sz w:val="22"/>
              </w:rPr>
              <w:t>№ п/п</w:t>
            </w:r>
          </w:p>
        </w:tc>
        <w:tc>
          <w:tcPr>
            <w:tcW w:w="5186" w:type="dxa"/>
          </w:tcPr>
          <w:p>
            <w:pPr>
              <w:pStyle w:val="TableParagraph"/>
              <w:spacing w:before="83"/>
              <w:ind w:left="1352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Характеристики объекта</w:t>
            </w:r>
          </w:p>
        </w:tc>
        <w:tc>
          <w:tcPr>
            <w:tcW w:w="4126" w:type="dxa"/>
          </w:tcPr>
          <w:p>
            <w:pPr>
              <w:pStyle w:val="TableParagraph"/>
              <w:spacing w:before="83"/>
              <w:ind w:left="814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Описание характеристик</w:t>
            </w:r>
          </w:p>
        </w:tc>
      </w:tr>
      <w:tr>
        <w:trPr>
          <w:trHeight w:val="320" w:hRule="atLeast"/>
        </w:trPr>
        <w:tc>
          <w:tcPr>
            <w:tcW w:w="845" w:type="dxa"/>
          </w:tcPr>
          <w:p>
            <w:pPr>
              <w:pStyle w:val="TableParagraph"/>
              <w:spacing w:before="33"/>
              <w:ind w:left="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5186" w:type="dxa"/>
          </w:tcPr>
          <w:p>
            <w:pPr>
              <w:pStyle w:val="TableParagraph"/>
              <w:spacing w:before="33"/>
              <w:ind w:left="4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4126" w:type="dxa"/>
          </w:tcPr>
          <w:p>
            <w:pPr>
              <w:pStyle w:val="TableParagraph"/>
              <w:spacing w:before="33"/>
              <w:ind w:left="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</w:tr>
      <w:tr>
        <w:trPr>
          <w:trHeight w:val="420" w:hRule="atLeast"/>
        </w:trPr>
        <w:tc>
          <w:tcPr>
            <w:tcW w:w="845" w:type="dxa"/>
          </w:tcPr>
          <w:p>
            <w:pPr>
              <w:pStyle w:val="TableParagraph"/>
              <w:spacing w:before="76"/>
              <w:ind w:left="101" w:right="97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5186" w:type="dxa"/>
          </w:tcPr>
          <w:p>
            <w:pPr>
              <w:pStyle w:val="TableParagraph"/>
              <w:spacing w:before="76"/>
              <w:ind w:left="65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 объекта</w:t>
            </w:r>
          </w:p>
        </w:tc>
        <w:tc>
          <w:tcPr>
            <w:tcW w:w="4126" w:type="dxa"/>
          </w:tcPr>
          <w:p>
            <w:pPr>
              <w:pStyle w:val="TableParagraph"/>
              <w:spacing w:before="76"/>
              <w:ind w:left="118"/>
              <w:jc w:val="left"/>
              <w:rPr>
                <w:sz w:val="22"/>
              </w:rPr>
            </w:pPr>
            <w:r>
              <w:rPr>
                <w:sz w:val="22"/>
              </w:rPr>
              <w:t>Красноярский край, город Минусинск</w:t>
            </w:r>
          </w:p>
        </w:tc>
      </w:tr>
      <w:tr>
        <w:trPr>
          <w:trHeight w:val="660" w:hRule="atLeast"/>
        </w:trPr>
        <w:tc>
          <w:tcPr>
            <w:tcW w:w="845" w:type="dxa"/>
          </w:tcPr>
          <w:p>
            <w:pPr>
              <w:pStyle w:val="TableParagraph"/>
              <w:spacing w:before="198"/>
              <w:ind w:left="101" w:right="97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5186" w:type="dxa"/>
          </w:tcPr>
          <w:p>
            <w:pPr>
              <w:pStyle w:val="TableParagraph"/>
              <w:spacing w:line="246" w:lineRule="exact" w:before="79"/>
              <w:ind w:left="65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+/- величина</w:t>
            </w:r>
          </w:p>
          <w:p>
            <w:pPr>
              <w:pStyle w:val="TableParagraph"/>
              <w:spacing w:line="246" w:lineRule="exact"/>
              <w:ind w:left="65"/>
              <w:jc w:val="left"/>
              <w:rPr>
                <w:sz w:val="22"/>
              </w:rPr>
            </w:pPr>
            <w:r>
              <w:rPr>
                <w:sz w:val="22"/>
              </w:rPr>
              <w:t>погрешности определения площади (Р +/- Дельта Р)</w:t>
            </w:r>
          </w:p>
        </w:tc>
        <w:tc>
          <w:tcPr>
            <w:tcW w:w="4126" w:type="dxa"/>
          </w:tcPr>
          <w:p>
            <w:pPr>
              <w:pStyle w:val="TableParagraph"/>
              <w:spacing w:before="199"/>
              <w:ind w:left="118"/>
              <w:jc w:val="left"/>
              <w:rPr>
                <w:sz w:val="22"/>
              </w:rPr>
            </w:pPr>
            <w:r>
              <w:rPr>
                <w:sz w:val="22"/>
              </w:rPr>
              <w:t>124 +/- 19 м²</w:t>
            </w:r>
          </w:p>
        </w:tc>
      </w:tr>
      <w:tr>
        <w:trPr>
          <w:trHeight w:val="6400" w:hRule="atLeast"/>
        </w:trPr>
        <w:tc>
          <w:tcPr>
            <w:tcW w:w="845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3"/>
              <w:jc w:val="left"/>
              <w:rPr>
                <w:sz w:val="27"/>
              </w:rPr>
            </w:pPr>
          </w:p>
          <w:p>
            <w:pPr>
              <w:pStyle w:val="TableParagraph"/>
              <w:ind w:left="101" w:right="97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5186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3"/>
              <w:jc w:val="left"/>
              <w:rPr>
                <w:sz w:val="27"/>
              </w:rPr>
            </w:pPr>
          </w:p>
          <w:p>
            <w:pPr>
              <w:pStyle w:val="TableParagraph"/>
              <w:ind w:left="65"/>
              <w:jc w:val="left"/>
              <w:rPr>
                <w:sz w:val="22"/>
              </w:rPr>
            </w:pPr>
            <w:r>
              <w:rPr>
                <w:sz w:val="22"/>
              </w:rPr>
              <w:t>Иные характеристики объекта</w:t>
            </w:r>
          </w:p>
        </w:tc>
        <w:tc>
          <w:tcPr>
            <w:tcW w:w="4126" w:type="dxa"/>
          </w:tcPr>
          <w:p>
            <w:pPr>
              <w:pStyle w:val="TableParagraph"/>
              <w:spacing w:line="228" w:lineRule="auto" w:before="67"/>
              <w:ind w:left="65" w:right="62" w:firstLine="53"/>
              <w:jc w:val="left"/>
              <w:rPr>
                <w:sz w:val="22"/>
              </w:rPr>
            </w:pPr>
            <w:r>
              <w:rPr>
                <w:spacing w:val="-3"/>
                <w:sz w:val="22"/>
              </w:rPr>
              <w:t>Публичный сервитут устанавливается </w:t>
            </w:r>
            <w:r>
              <w:rPr>
                <w:sz w:val="22"/>
              </w:rPr>
              <w:t>для </w:t>
            </w:r>
            <w:r>
              <w:rPr>
                <w:spacing w:val="-3"/>
                <w:sz w:val="22"/>
              </w:rPr>
              <w:t>складирования строительных </w:t>
            </w:r>
            <w:r>
              <w:rPr>
                <w:sz w:val="22"/>
              </w:rPr>
              <w:t>и </w:t>
            </w:r>
            <w:r>
              <w:rPr>
                <w:spacing w:val="-3"/>
                <w:sz w:val="22"/>
              </w:rPr>
              <w:t>иных материалов, размещения временных </w:t>
            </w:r>
            <w:r>
              <w:rPr>
                <w:sz w:val="22"/>
              </w:rPr>
              <w:t>или </w:t>
            </w:r>
            <w:r>
              <w:rPr>
                <w:spacing w:val="-3"/>
                <w:sz w:val="22"/>
              </w:rPr>
              <w:t>вспомогательных сооружений (включая ограждения, бытовки, </w:t>
            </w:r>
            <w:r>
              <w:rPr>
                <w:sz w:val="22"/>
              </w:rPr>
              <w:t>навесы) и </w:t>
            </w:r>
            <w:r>
              <w:rPr>
                <w:spacing w:val="-3"/>
                <w:sz w:val="22"/>
              </w:rPr>
              <w:t>(или) строительной техники, </w:t>
            </w:r>
            <w:r>
              <w:rPr>
                <w:sz w:val="22"/>
              </w:rPr>
              <w:t>которые </w:t>
            </w:r>
            <w:r>
              <w:rPr>
                <w:spacing w:val="-3"/>
                <w:sz w:val="22"/>
              </w:rPr>
              <w:t>необходимы </w:t>
            </w:r>
            <w:r>
              <w:rPr>
                <w:sz w:val="22"/>
              </w:rPr>
              <w:t>для </w:t>
            </w:r>
            <w:r>
              <w:rPr>
                <w:spacing w:val="-3"/>
                <w:sz w:val="22"/>
              </w:rPr>
              <w:t>обеспечения строительства, реконструкции, ремонта объектов транспортной инфраструктуры федерального,  регионального  </w:t>
            </w:r>
            <w:r>
              <w:rPr>
                <w:sz w:val="22"/>
              </w:rPr>
              <w:t>или </w:t>
            </w:r>
            <w:r>
              <w:rPr>
                <w:spacing w:val="-3"/>
                <w:sz w:val="22"/>
              </w:rPr>
              <w:t>местного значения, </w:t>
            </w:r>
            <w:r>
              <w:rPr>
                <w:sz w:val="22"/>
              </w:rPr>
              <w:t>на срок </w:t>
            </w:r>
            <w:r>
              <w:rPr>
                <w:spacing w:val="-3"/>
                <w:sz w:val="22"/>
              </w:rPr>
              <w:t>указанных строительства, реконструкции, ремонта </w:t>
            </w:r>
            <w:r>
              <w:rPr>
                <w:sz w:val="22"/>
              </w:rPr>
              <w:t>при </w:t>
            </w:r>
            <w:r>
              <w:rPr>
                <w:spacing w:val="-3"/>
                <w:sz w:val="22"/>
              </w:rPr>
              <w:t>реализации объекта: «Второй путь на перегоне Подсиний-Минусинск Красноярской железной дороги. </w:t>
            </w:r>
            <w:r>
              <w:rPr>
                <w:sz w:val="22"/>
              </w:rPr>
              <w:t>2 </w:t>
            </w:r>
            <w:r>
              <w:rPr>
                <w:spacing w:val="-3"/>
                <w:sz w:val="22"/>
              </w:rPr>
              <w:t>этап </w:t>
            </w:r>
            <w:r>
              <w:rPr>
                <w:sz w:val="22"/>
              </w:rPr>
              <w:t>- </w:t>
            </w:r>
            <w:r>
              <w:rPr>
                <w:spacing w:val="-3"/>
                <w:sz w:val="22"/>
              </w:rPr>
              <w:t>строительство второго </w:t>
            </w:r>
            <w:r>
              <w:rPr>
                <w:sz w:val="22"/>
              </w:rPr>
              <w:t>пути на </w:t>
            </w:r>
            <w:r>
              <w:rPr>
                <w:spacing w:val="-3"/>
                <w:sz w:val="22"/>
              </w:rPr>
              <w:t>перегоне Подсиний </w:t>
            </w:r>
            <w:r>
              <w:rPr>
                <w:sz w:val="22"/>
              </w:rPr>
              <w:t>- </w:t>
            </w:r>
            <w:r>
              <w:rPr>
                <w:spacing w:val="-3"/>
                <w:sz w:val="22"/>
              </w:rPr>
              <w:t>Минусинск». Обладатель публичного сервитута </w:t>
            </w:r>
            <w:r>
              <w:rPr>
                <w:sz w:val="22"/>
              </w:rPr>
              <w:t>- </w:t>
            </w:r>
            <w:r>
              <w:rPr>
                <w:spacing w:val="-3"/>
                <w:sz w:val="22"/>
              </w:rPr>
              <w:t>Открытое акционерное общество "Российские железные дороги", ОГРН 1037739877295, ИНН 7708503727, почтовый </w:t>
            </w:r>
            <w:r>
              <w:rPr>
                <w:sz w:val="22"/>
              </w:rPr>
              <w:t>адрес: </w:t>
            </w:r>
            <w:r>
              <w:rPr>
                <w:spacing w:val="-3"/>
                <w:sz w:val="22"/>
              </w:rPr>
              <w:t>107174, </w:t>
            </w:r>
            <w:r>
              <w:rPr>
                <w:sz w:val="22"/>
              </w:rPr>
              <w:t>г. </w:t>
            </w:r>
            <w:r>
              <w:rPr>
                <w:spacing w:val="-3"/>
                <w:sz w:val="22"/>
              </w:rPr>
              <w:t>Москва,  вн.тер.  </w:t>
            </w:r>
            <w:r>
              <w:rPr>
                <w:sz w:val="22"/>
              </w:rPr>
              <w:t>г. </w:t>
            </w:r>
            <w:r>
              <w:rPr>
                <w:spacing w:val="-3"/>
                <w:sz w:val="22"/>
              </w:rPr>
              <w:t>Муниципальный округ Басманный, ул. </w:t>
            </w:r>
            <w:r>
              <w:rPr>
                <w:sz w:val="22"/>
              </w:rPr>
              <w:t>Новая </w:t>
            </w:r>
            <w:r>
              <w:rPr>
                <w:spacing w:val="-3"/>
                <w:sz w:val="22"/>
              </w:rPr>
              <w:t>Басманная, </w:t>
            </w:r>
            <w:r>
              <w:rPr>
                <w:sz w:val="22"/>
              </w:rPr>
              <w:t>д. 2/1, </w:t>
            </w:r>
            <w:r>
              <w:rPr>
                <w:spacing w:val="-3"/>
                <w:sz w:val="22"/>
              </w:rPr>
              <w:t>стр. </w:t>
            </w:r>
            <w:r>
              <w:rPr>
                <w:sz w:val="22"/>
              </w:rPr>
              <w:t>1, </w:t>
            </w:r>
            <w:r>
              <w:rPr>
                <w:spacing w:val="-3"/>
                <w:sz w:val="22"/>
              </w:rPr>
              <w:t>адрес электронной почты:</w:t>
            </w:r>
            <w:hyperlink r:id="rId5">
              <w:r>
                <w:rPr>
                  <w:spacing w:val="-3"/>
                  <w:sz w:val="22"/>
                </w:rPr>
                <w:t> fax@css.rzd.ru. </w:t>
              </w:r>
            </w:hyperlink>
            <w:r>
              <w:rPr>
                <w:spacing w:val="-3"/>
                <w:sz w:val="22"/>
              </w:rPr>
              <w:t>Публичный сервитут устанавливается сроком </w:t>
            </w:r>
            <w:r>
              <w:rPr>
                <w:sz w:val="22"/>
              </w:rPr>
              <w:t>на 14</w:t>
            </w:r>
            <w:r>
              <w:rPr>
                <w:spacing w:val="7"/>
                <w:sz w:val="22"/>
              </w:rPr>
              <w:t> </w:t>
            </w:r>
            <w:r>
              <w:rPr>
                <w:spacing w:val="-3"/>
                <w:sz w:val="22"/>
              </w:rPr>
              <w:t>месяцев</w:t>
            </w:r>
          </w:p>
        </w:tc>
      </w:tr>
      <w:tr>
        <w:trPr>
          <w:trHeight w:val="2640" w:hRule="atLeast"/>
        </w:trPr>
        <w:tc>
          <w:tcPr>
            <w:tcW w:w="10157" w:type="dxa"/>
            <w:gridSpan w:val="3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</w:tbl>
    <w:p>
      <w:pPr>
        <w:spacing w:after="0"/>
        <w:jc w:val="left"/>
        <w:rPr>
          <w:sz w:val="22"/>
        </w:rPr>
        <w:sectPr>
          <w:type w:val="continuous"/>
          <w:pgSz w:w="11910" w:h="16850"/>
          <w:pgMar w:top="560" w:bottom="280" w:left="1020" w:right="480"/>
        </w:sectPr>
      </w:pPr>
    </w:p>
    <w:tbl>
      <w:tblPr>
        <w:tblW w:w="0" w:type="auto"/>
        <w:jc w:val="left"/>
        <w:tblInd w:w="1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3"/>
        <w:gridCol w:w="1346"/>
        <w:gridCol w:w="1363"/>
        <w:gridCol w:w="1862"/>
        <w:gridCol w:w="1747"/>
        <w:gridCol w:w="1805"/>
      </w:tblGrid>
      <w:tr>
        <w:trPr>
          <w:trHeight w:val="600" w:hRule="atLeast"/>
        </w:trPr>
        <w:tc>
          <w:tcPr>
            <w:tcW w:w="10157" w:type="dxa"/>
            <w:gridSpan w:val="6"/>
          </w:tcPr>
          <w:p>
            <w:pPr>
              <w:pStyle w:val="TableParagraph"/>
              <w:spacing w:before="157"/>
              <w:ind w:left="92" w:right="84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 2</w:t>
            </w:r>
          </w:p>
        </w:tc>
      </w:tr>
      <w:tr>
        <w:trPr>
          <w:trHeight w:val="540" w:hRule="atLeast"/>
        </w:trPr>
        <w:tc>
          <w:tcPr>
            <w:tcW w:w="10157" w:type="dxa"/>
            <w:gridSpan w:val="6"/>
          </w:tcPr>
          <w:p>
            <w:pPr>
              <w:pStyle w:val="TableParagraph"/>
              <w:spacing w:before="111"/>
              <w:ind w:left="2273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Сведения о местоположении границ объекта</w:t>
            </w:r>
          </w:p>
        </w:tc>
      </w:tr>
      <w:tr>
        <w:trPr>
          <w:trHeight w:val="420" w:hRule="atLeast"/>
        </w:trPr>
        <w:tc>
          <w:tcPr>
            <w:tcW w:w="10157" w:type="dxa"/>
            <w:gridSpan w:val="6"/>
          </w:tcPr>
          <w:p>
            <w:pPr>
              <w:pStyle w:val="TableParagraph"/>
              <w:spacing w:before="129"/>
              <w:ind w:left="65"/>
              <w:jc w:val="left"/>
              <w:rPr>
                <w:sz w:val="22"/>
              </w:rPr>
            </w:pPr>
            <w:r>
              <w:rPr>
                <w:sz w:val="22"/>
              </w:rPr>
              <w:t>1. Система координат   МСК-167</w:t>
            </w:r>
          </w:p>
        </w:tc>
      </w:tr>
      <w:tr>
        <w:trPr>
          <w:trHeight w:val="320" w:hRule="atLeast"/>
        </w:trPr>
        <w:tc>
          <w:tcPr>
            <w:tcW w:w="10157" w:type="dxa"/>
            <w:gridSpan w:val="6"/>
          </w:tcPr>
          <w:p>
            <w:pPr>
              <w:pStyle w:val="TableParagraph"/>
              <w:spacing w:before="28"/>
              <w:ind w:left="65"/>
              <w:jc w:val="left"/>
              <w:rPr>
                <w:sz w:val="22"/>
              </w:rPr>
            </w:pPr>
            <w:r>
              <w:rPr>
                <w:sz w:val="22"/>
              </w:rPr>
              <w:t>2. Сведения о характерных точках границ объекта</w:t>
            </w:r>
          </w:p>
        </w:tc>
      </w:tr>
      <w:tr>
        <w:trPr>
          <w:trHeight w:val="760" w:hRule="atLeast"/>
        </w:trPr>
        <w:tc>
          <w:tcPr>
            <w:tcW w:w="2033" w:type="dxa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1"/>
              <w:ind w:left="60" w:right="51" w:hanging="1"/>
              <w:rPr>
                <w:b/>
                <w:sz w:val="22"/>
              </w:rPr>
            </w:pPr>
            <w:r>
              <w:rPr>
                <w:b/>
                <w:spacing w:val="-3"/>
                <w:sz w:val="22"/>
              </w:rPr>
              <w:t>Обозначение характерных точек границ</w:t>
            </w:r>
          </w:p>
        </w:tc>
        <w:tc>
          <w:tcPr>
            <w:tcW w:w="2710" w:type="dxa"/>
            <w:gridSpan w:val="2"/>
          </w:tcPr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ind w:left="603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Координаты, м</w:t>
            </w:r>
          </w:p>
        </w:tc>
        <w:tc>
          <w:tcPr>
            <w:tcW w:w="1862" w:type="dxa"/>
            <w:vMerge w:val="restart"/>
          </w:tcPr>
          <w:p>
            <w:pPr>
              <w:pStyle w:val="TableParagraph"/>
              <w:spacing w:line="228" w:lineRule="auto" w:before="180"/>
              <w:ind w:left="303" w:right="296" w:firstLine="1"/>
              <w:rPr>
                <w:b/>
                <w:sz w:val="22"/>
              </w:rPr>
            </w:pPr>
            <w:r>
              <w:rPr>
                <w:b/>
                <w:sz w:val="22"/>
              </w:rPr>
              <w:t>Метод </w:t>
            </w:r>
            <w:r>
              <w:rPr>
                <w:b/>
                <w:spacing w:val="-3"/>
                <w:sz w:val="22"/>
              </w:rPr>
              <w:t>определения координат </w:t>
            </w:r>
            <w:r>
              <w:rPr>
                <w:b/>
                <w:spacing w:val="-4"/>
                <w:sz w:val="22"/>
              </w:rPr>
              <w:t>характерной </w:t>
            </w:r>
            <w:r>
              <w:rPr>
                <w:b/>
                <w:spacing w:val="-3"/>
                <w:sz w:val="22"/>
              </w:rPr>
              <w:t>точки</w:t>
            </w:r>
          </w:p>
        </w:tc>
        <w:tc>
          <w:tcPr>
            <w:tcW w:w="1747" w:type="dxa"/>
            <w:vMerge w:val="restart"/>
          </w:tcPr>
          <w:p>
            <w:pPr>
              <w:pStyle w:val="TableParagraph"/>
              <w:spacing w:line="228" w:lineRule="auto" w:before="60"/>
              <w:ind w:left="75" w:right="71" w:firstLine="3"/>
              <w:rPr>
                <w:b/>
                <w:sz w:val="22"/>
              </w:rPr>
            </w:pPr>
            <w:r>
              <w:rPr>
                <w:b/>
                <w:spacing w:val="-3"/>
                <w:sz w:val="22"/>
              </w:rPr>
              <w:t>Средняя квадратическая погрешность </w:t>
            </w:r>
            <w:r>
              <w:rPr>
                <w:b/>
                <w:spacing w:val="-4"/>
                <w:sz w:val="22"/>
              </w:rPr>
              <w:t>положения характерной </w:t>
            </w:r>
            <w:r>
              <w:rPr>
                <w:b/>
                <w:spacing w:val="-3"/>
                <w:sz w:val="22"/>
              </w:rPr>
              <w:t>точки </w:t>
            </w:r>
            <w:r>
              <w:rPr>
                <w:b/>
                <w:sz w:val="22"/>
              </w:rPr>
              <w:t>(Мt), м</w:t>
            </w:r>
          </w:p>
        </w:tc>
        <w:tc>
          <w:tcPr>
            <w:tcW w:w="1805" w:type="dxa"/>
            <w:vMerge w:val="restart"/>
          </w:tcPr>
          <w:p>
            <w:pPr>
              <w:pStyle w:val="TableParagraph"/>
              <w:spacing w:line="228" w:lineRule="auto" w:before="180"/>
              <w:ind w:left="147" w:right="138" w:hanging="5"/>
              <w:rPr>
                <w:b/>
                <w:sz w:val="22"/>
              </w:rPr>
            </w:pPr>
            <w:r>
              <w:rPr>
                <w:b/>
                <w:spacing w:val="-3"/>
                <w:sz w:val="22"/>
              </w:rPr>
              <w:t>Описание обозначения точки на местности </w:t>
            </w:r>
            <w:r>
              <w:rPr>
                <w:b/>
                <w:sz w:val="22"/>
              </w:rPr>
              <w:t>(при </w:t>
            </w:r>
            <w:r>
              <w:rPr>
                <w:b/>
                <w:spacing w:val="-3"/>
                <w:sz w:val="22"/>
              </w:rPr>
              <w:t>наличии)</w:t>
            </w:r>
          </w:p>
        </w:tc>
      </w:tr>
      <w:tr>
        <w:trPr>
          <w:trHeight w:val="760" w:hRule="atLeast"/>
        </w:trPr>
        <w:tc>
          <w:tcPr>
            <w:tcW w:w="20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X</w:t>
            </w:r>
          </w:p>
        </w:tc>
        <w:tc>
          <w:tcPr>
            <w:tcW w:w="1363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8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Y</w:t>
            </w:r>
          </w:p>
        </w:tc>
        <w:tc>
          <w:tcPr>
            <w:tcW w:w="18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0" w:hRule="atLeast"/>
        </w:trPr>
        <w:tc>
          <w:tcPr>
            <w:tcW w:w="2033" w:type="dxa"/>
          </w:tcPr>
          <w:p>
            <w:pPr>
              <w:pStyle w:val="TableParagraph"/>
              <w:spacing w:before="33"/>
              <w:ind w:left="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346" w:type="dxa"/>
          </w:tcPr>
          <w:p>
            <w:pPr>
              <w:pStyle w:val="TableParagraph"/>
              <w:spacing w:before="33"/>
              <w:ind w:left="4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1363" w:type="dxa"/>
          </w:tcPr>
          <w:p>
            <w:pPr>
              <w:pStyle w:val="TableParagraph"/>
              <w:spacing w:before="33"/>
              <w:ind w:left="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1862" w:type="dxa"/>
          </w:tcPr>
          <w:p>
            <w:pPr>
              <w:pStyle w:val="TableParagraph"/>
              <w:spacing w:before="33"/>
              <w:ind w:left="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1747" w:type="dxa"/>
          </w:tcPr>
          <w:p>
            <w:pPr>
              <w:pStyle w:val="TableParagraph"/>
              <w:spacing w:before="33"/>
              <w:ind w:left="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1805" w:type="dxa"/>
          </w:tcPr>
          <w:p>
            <w:pPr>
              <w:pStyle w:val="TableParagraph"/>
              <w:spacing w:before="33"/>
              <w:ind w:left="843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</w:tr>
      <w:tr>
        <w:trPr>
          <w:trHeight w:val="480" w:hRule="atLeast"/>
        </w:trPr>
        <w:tc>
          <w:tcPr>
            <w:tcW w:w="10157" w:type="dxa"/>
            <w:gridSpan w:val="6"/>
          </w:tcPr>
          <w:p>
            <w:pPr>
              <w:pStyle w:val="TableParagraph"/>
              <w:spacing w:before="114"/>
              <w:ind w:left="3024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Контур 1 (24:53:0200006) площадь 21 кв.м</w:t>
            </w:r>
          </w:p>
        </w:tc>
      </w:tr>
      <w:tr>
        <w:trPr>
          <w:trHeight w:val="480" w:hRule="atLeast"/>
        </w:trPr>
        <w:tc>
          <w:tcPr>
            <w:tcW w:w="2033" w:type="dxa"/>
          </w:tcPr>
          <w:p>
            <w:pPr>
              <w:pStyle w:val="TableParagraph"/>
              <w:spacing w:before="105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346" w:type="dxa"/>
          </w:tcPr>
          <w:p>
            <w:pPr>
              <w:pStyle w:val="TableParagraph"/>
              <w:spacing w:before="105"/>
              <w:ind w:left="180" w:right="176"/>
              <w:rPr>
                <w:sz w:val="22"/>
              </w:rPr>
            </w:pPr>
            <w:r>
              <w:rPr>
                <w:sz w:val="22"/>
              </w:rPr>
              <w:t>367479.57</w:t>
            </w:r>
          </w:p>
        </w:tc>
        <w:tc>
          <w:tcPr>
            <w:tcW w:w="1363" w:type="dxa"/>
          </w:tcPr>
          <w:p>
            <w:pPr>
              <w:pStyle w:val="TableParagraph"/>
              <w:spacing w:before="105"/>
              <w:ind w:left="243" w:right="239"/>
              <w:rPr>
                <w:sz w:val="22"/>
              </w:rPr>
            </w:pPr>
            <w:r>
              <w:rPr>
                <w:sz w:val="22"/>
              </w:rPr>
              <w:t>16595.31</w:t>
            </w:r>
          </w:p>
        </w:tc>
        <w:tc>
          <w:tcPr>
            <w:tcW w:w="1862" w:type="dxa"/>
          </w:tcPr>
          <w:p>
            <w:pPr>
              <w:pStyle w:val="TableParagraph"/>
              <w:spacing w:line="233" w:lineRule="exact"/>
              <w:ind w:left="172" w:right="170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/>
              <w:ind w:left="172" w:right="166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7" w:type="dxa"/>
          </w:tcPr>
          <w:p>
            <w:pPr>
              <w:pStyle w:val="TableParagraph"/>
              <w:spacing w:before="105"/>
              <w:ind w:left="709" w:right="707"/>
              <w:rPr>
                <w:sz w:val="22"/>
              </w:rPr>
            </w:pPr>
            <w:r>
              <w:rPr>
                <w:sz w:val="22"/>
              </w:rPr>
              <w:t>0.5</w:t>
            </w:r>
          </w:p>
        </w:tc>
        <w:tc>
          <w:tcPr>
            <w:tcW w:w="1805" w:type="dxa"/>
          </w:tcPr>
          <w:p>
            <w:pPr>
              <w:pStyle w:val="TableParagraph"/>
              <w:spacing w:before="105"/>
              <w:ind w:left="86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0" w:hRule="atLeast"/>
        </w:trPr>
        <w:tc>
          <w:tcPr>
            <w:tcW w:w="2033" w:type="dxa"/>
          </w:tcPr>
          <w:p>
            <w:pPr>
              <w:pStyle w:val="TableParagraph"/>
              <w:spacing w:before="105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346" w:type="dxa"/>
          </w:tcPr>
          <w:p>
            <w:pPr>
              <w:pStyle w:val="TableParagraph"/>
              <w:spacing w:before="105"/>
              <w:ind w:left="180" w:right="176"/>
              <w:rPr>
                <w:sz w:val="22"/>
              </w:rPr>
            </w:pPr>
            <w:r>
              <w:rPr>
                <w:sz w:val="22"/>
              </w:rPr>
              <w:t>367478.43</w:t>
            </w:r>
          </w:p>
        </w:tc>
        <w:tc>
          <w:tcPr>
            <w:tcW w:w="1363" w:type="dxa"/>
          </w:tcPr>
          <w:p>
            <w:pPr>
              <w:pStyle w:val="TableParagraph"/>
              <w:spacing w:before="105"/>
              <w:ind w:left="243" w:right="239"/>
              <w:rPr>
                <w:sz w:val="22"/>
              </w:rPr>
            </w:pPr>
            <w:r>
              <w:rPr>
                <w:sz w:val="22"/>
              </w:rPr>
              <w:t>16593.72</w:t>
            </w:r>
          </w:p>
        </w:tc>
        <w:tc>
          <w:tcPr>
            <w:tcW w:w="1862" w:type="dxa"/>
          </w:tcPr>
          <w:p>
            <w:pPr>
              <w:pStyle w:val="TableParagraph"/>
              <w:spacing w:line="233" w:lineRule="exact"/>
              <w:ind w:left="172" w:right="170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/>
              <w:ind w:left="172" w:right="166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7" w:type="dxa"/>
          </w:tcPr>
          <w:p>
            <w:pPr>
              <w:pStyle w:val="TableParagraph"/>
              <w:spacing w:before="105"/>
              <w:ind w:left="709" w:right="707"/>
              <w:rPr>
                <w:sz w:val="22"/>
              </w:rPr>
            </w:pPr>
            <w:r>
              <w:rPr>
                <w:sz w:val="22"/>
              </w:rPr>
              <w:t>0.5</w:t>
            </w:r>
          </w:p>
        </w:tc>
        <w:tc>
          <w:tcPr>
            <w:tcW w:w="1805" w:type="dxa"/>
          </w:tcPr>
          <w:p>
            <w:pPr>
              <w:pStyle w:val="TableParagraph"/>
              <w:spacing w:before="105"/>
              <w:ind w:left="86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0" w:hRule="atLeast"/>
        </w:trPr>
        <w:tc>
          <w:tcPr>
            <w:tcW w:w="2033" w:type="dxa"/>
          </w:tcPr>
          <w:p>
            <w:pPr>
              <w:pStyle w:val="TableParagraph"/>
              <w:spacing w:before="105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346" w:type="dxa"/>
          </w:tcPr>
          <w:p>
            <w:pPr>
              <w:pStyle w:val="TableParagraph"/>
              <w:spacing w:before="105"/>
              <w:ind w:left="180" w:right="176"/>
              <w:rPr>
                <w:sz w:val="22"/>
              </w:rPr>
            </w:pPr>
            <w:r>
              <w:rPr>
                <w:sz w:val="22"/>
              </w:rPr>
              <w:t>367483.47</w:t>
            </w:r>
          </w:p>
        </w:tc>
        <w:tc>
          <w:tcPr>
            <w:tcW w:w="1363" w:type="dxa"/>
          </w:tcPr>
          <w:p>
            <w:pPr>
              <w:pStyle w:val="TableParagraph"/>
              <w:spacing w:before="105"/>
              <w:ind w:left="243" w:right="239"/>
              <w:rPr>
                <w:sz w:val="22"/>
              </w:rPr>
            </w:pPr>
            <w:r>
              <w:rPr>
                <w:sz w:val="22"/>
              </w:rPr>
              <w:t>16583.54</w:t>
            </w:r>
          </w:p>
        </w:tc>
        <w:tc>
          <w:tcPr>
            <w:tcW w:w="1862" w:type="dxa"/>
          </w:tcPr>
          <w:p>
            <w:pPr>
              <w:pStyle w:val="TableParagraph"/>
              <w:spacing w:line="233" w:lineRule="exact"/>
              <w:ind w:left="172" w:right="170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/>
              <w:ind w:left="172" w:right="166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7" w:type="dxa"/>
          </w:tcPr>
          <w:p>
            <w:pPr>
              <w:pStyle w:val="TableParagraph"/>
              <w:spacing w:before="105"/>
              <w:ind w:left="709" w:right="707"/>
              <w:rPr>
                <w:sz w:val="22"/>
              </w:rPr>
            </w:pPr>
            <w:r>
              <w:rPr>
                <w:sz w:val="22"/>
              </w:rPr>
              <w:t>0.5</w:t>
            </w:r>
          </w:p>
        </w:tc>
        <w:tc>
          <w:tcPr>
            <w:tcW w:w="1805" w:type="dxa"/>
          </w:tcPr>
          <w:p>
            <w:pPr>
              <w:pStyle w:val="TableParagraph"/>
              <w:spacing w:before="105"/>
              <w:ind w:left="86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0" w:hRule="atLeast"/>
        </w:trPr>
        <w:tc>
          <w:tcPr>
            <w:tcW w:w="2033" w:type="dxa"/>
          </w:tcPr>
          <w:p>
            <w:pPr>
              <w:pStyle w:val="TableParagraph"/>
              <w:spacing w:before="105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346" w:type="dxa"/>
          </w:tcPr>
          <w:p>
            <w:pPr>
              <w:pStyle w:val="TableParagraph"/>
              <w:spacing w:before="105"/>
              <w:ind w:left="180" w:right="176"/>
              <w:rPr>
                <w:sz w:val="22"/>
              </w:rPr>
            </w:pPr>
            <w:r>
              <w:rPr>
                <w:sz w:val="22"/>
              </w:rPr>
              <w:t>367484.72</w:t>
            </w:r>
          </w:p>
        </w:tc>
        <w:tc>
          <w:tcPr>
            <w:tcW w:w="1363" w:type="dxa"/>
          </w:tcPr>
          <w:p>
            <w:pPr>
              <w:pStyle w:val="TableParagraph"/>
              <w:spacing w:before="105"/>
              <w:ind w:left="243" w:right="239"/>
              <w:rPr>
                <w:sz w:val="22"/>
              </w:rPr>
            </w:pPr>
            <w:r>
              <w:rPr>
                <w:sz w:val="22"/>
              </w:rPr>
              <w:t>16585.29</w:t>
            </w:r>
          </w:p>
        </w:tc>
        <w:tc>
          <w:tcPr>
            <w:tcW w:w="1862" w:type="dxa"/>
          </w:tcPr>
          <w:p>
            <w:pPr>
              <w:pStyle w:val="TableParagraph"/>
              <w:spacing w:line="232" w:lineRule="exact"/>
              <w:ind w:left="172" w:right="170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3" w:lineRule="exact"/>
              <w:ind w:left="172" w:right="166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7" w:type="dxa"/>
          </w:tcPr>
          <w:p>
            <w:pPr>
              <w:pStyle w:val="TableParagraph"/>
              <w:spacing w:before="105"/>
              <w:ind w:left="709" w:right="707"/>
              <w:rPr>
                <w:sz w:val="22"/>
              </w:rPr>
            </w:pPr>
            <w:r>
              <w:rPr>
                <w:sz w:val="22"/>
              </w:rPr>
              <w:t>0.5</w:t>
            </w:r>
          </w:p>
        </w:tc>
        <w:tc>
          <w:tcPr>
            <w:tcW w:w="1805" w:type="dxa"/>
          </w:tcPr>
          <w:p>
            <w:pPr>
              <w:pStyle w:val="TableParagraph"/>
              <w:spacing w:before="105"/>
              <w:ind w:left="86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0" w:hRule="atLeast"/>
        </w:trPr>
        <w:tc>
          <w:tcPr>
            <w:tcW w:w="2033" w:type="dxa"/>
          </w:tcPr>
          <w:p>
            <w:pPr>
              <w:pStyle w:val="TableParagraph"/>
              <w:spacing w:before="107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346" w:type="dxa"/>
          </w:tcPr>
          <w:p>
            <w:pPr>
              <w:pStyle w:val="TableParagraph"/>
              <w:spacing w:before="107"/>
              <w:ind w:left="180" w:right="176"/>
              <w:rPr>
                <w:sz w:val="22"/>
              </w:rPr>
            </w:pPr>
            <w:r>
              <w:rPr>
                <w:sz w:val="22"/>
              </w:rPr>
              <w:t>367479.57</w:t>
            </w:r>
          </w:p>
        </w:tc>
        <w:tc>
          <w:tcPr>
            <w:tcW w:w="1363" w:type="dxa"/>
          </w:tcPr>
          <w:p>
            <w:pPr>
              <w:pStyle w:val="TableParagraph"/>
              <w:spacing w:before="107"/>
              <w:ind w:left="243" w:right="239"/>
              <w:rPr>
                <w:sz w:val="22"/>
              </w:rPr>
            </w:pPr>
            <w:r>
              <w:rPr>
                <w:sz w:val="22"/>
              </w:rPr>
              <w:t>16595.31</w:t>
            </w:r>
          </w:p>
        </w:tc>
        <w:tc>
          <w:tcPr>
            <w:tcW w:w="1862" w:type="dxa"/>
          </w:tcPr>
          <w:p>
            <w:pPr>
              <w:pStyle w:val="TableParagraph"/>
              <w:spacing w:line="240" w:lineRule="exact" w:before="1"/>
              <w:ind w:left="653" w:hanging="447"/>
              <w:jc w:val="left"/>
              <w:rPr>
                <w:sz w:val="22"/>
              </w:rPr>
            </w:pPr>
            <w:r>
              <w:rPr>
                <w:sz w:val="22"/>
              </w:rPr>
              <w:t>Аналитический метод</w:t>
            </w:r>
          </w:p>
        </w:tc>
        <w:tc>
          <w:tcPr>
            <w:tcW w:w="1747" w:type="dxa"/>
          </w:tcPr>
          <w:p>
            <w:pPr>
              <w:pStyle w:val="TableParagraph"/>
              <w:spacing w:before="107"/>
              <w:ind w:left="709" w:right="707"/>
              <w:rPr>
                <w:sz w:val="22"/>
              </w:rPr>
            </w:pPr>
            <w:r>
              <w:rPr>
                <w:sz w:val="22"/>
              </w:rPr>
              <w:t>0.5</w:t>
            </w:r>
          </w:p>
        </w:tc>
        <w:tc>
          <w:tcPr>
            <w:tcW w:w="1805" w:type="dxa"/>
          </w:tcPr>
          <w:p>
            <w:pPr>
              <w:pStyle w:val="TableParagraph"/>
              <w:spacing w:before="107"/>
              <w:ind w:left="86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0" w:hRule="atLeast"/>
        </w:trPr>
        <w:tc>
          <w:tcPr>
            <w:tcW w:w="10157" w:type="dxa"/>
            <w:gridSpan w:val="6"/>
          </w:tcPr>
          <w:p>
            <w:pPr>
              <w:pStyle w:val="TableParagraph"/>
              <w:spacing w:before="112"/>
              <w:ind w:left="2969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Контур 2 (24:53:0200008) площадь 103 кв.м</w:t>
            </w:r>
          </w:p>
        </w:tc>
      </w:tr>
      <w:tr>
        <w:trPr>
          <w:trHeight w:val="480" w:hRule="atLeast"/>
        </w:trPr>
        <w:tc>
          <w:tcPr>
            <w:tcW w:w="2033" w:type="dxa"/>
          </w:tcPr>
          <w:p>
            <w:pPr>
              <w:pStyle w:val="TableParagraph"/>
              <w:spacing w:before="105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346" w:type="dxa"/>
          </w:tcPr>
          <w:p>
            <w:pPr>
              <w:pStyle w:val="TableParagraph"/>
              <w:spacing w:before="105"/>
              <w:ind w:left="180" w:right="176"/>
              <w:rPr>
                <w:sz w:val="22"/>
              </w:rPr>
            </w:pPr>
            <w:r>
              <w:rPr>
                <w:sz w:val="22"/>
              </w:rPr>
              <w:t>367479.57</w:t>
            </w:r>
          </w:p>
        </w:tc>
        <w:tc>
          <w:tcPr>
            <w:tcW w:w="1363" w:type="dxa"/>
          </w:tcPr>
          <w:p>
            <w:pPr>
              <w:pStyle w:val="TableParagraph"/>
              <w:spacing w:before="105"/>
              <w:ind w:left="243" w:right="239"/>
              <w:rPr>
                <w:sz w:val="22"/>
              </w:rPr>
            </w:pPr>
            <w:r>
              <w:rPr>
                <w:sz w:val="22"/>
              </w:rPr>
              <w:t>16595.31</w:t>
            </w:r>
          </w:p>
        </w:tc>
        <w:tc>
          <w:tcPr>
            <w:tcW w:w="1862" w:type="dxa"/>
          </w:tcPr>
          <w:p>
            <w:pPr>
              <w:pStyle w:val="TableParagraph"/>
              <w:spacing w:line="232" w:lineRule="exact"/>
              <w:ind w:left="172" w:right="170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3" w:lineRule="exact"/>
              <w:ind w:left="172" w:right="166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7" w:type="dxa"/>
          </w:tcPr>
          <w:p>
            <w:pPr>
              <w:pStyle w:val="TableParagraph"/>
              <w:spacing w:before="105"/>
              <w:ind w:left="709" w:right="707"/>
              <w:rPr>
                <w:sz w:val="22"/>
              </w:rPr>
            </w:pPr>
            <w:r>
              <w:rPr>
                <w:sz w:val="22"/>
              </w:rPr>
              <w:t>0.5</w:t>
            </w:r>
          </w:p>
        </w:tc>
        <w:tc>
          <w:tcPr>
            <w:tcW w:w="1805" w:type="dxa"/>
          </w:tcPr>
          <w:p>
            <w:pPr>
              <w:pStyle w:val="TableParagraph"/>
              <w:spacing w:before="105"/>
              <w:ind w:left="86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0" w:hRule="atLeast"/>
        </w:trPr>
        <w:tc>
          <w:tcPr>
            <w:tcW w:w="2033" w:type="dxa"/>
          </w:tcPr>
          <w:p>
            <w:pPr>
              <w:pStyle w:val="TableParagraph"/>
              <w:spacing w:before="107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346" w:type="dxa"/>
          </w:tcPr>
          <w:p>
            <w:pPr>
              <w:pStyle w:val="TableParagraph"/>
              <w:spacing w:before="107"/>
              <w:ind w:left="180" w:right="176"/>
              <w:rPr>
                <w:sz w:val="22"/>
              </w:rPr>
            </w:pPr>
            <w:r>
              <w:rPr>
                <w:sz w:val="22"/>
              </w:rPr>
              <w:t>367484.72</w:t>
            </w:r>
          </w:p>
        </w:tc>
        <w:tc>
          <w:tcPr>
            <w:tcW w:w="1363" w:type="dxa"/>
          </w:tcPr>
          <w:p>
            <w:pPr>
              <w:pStyle w:val="TableParagraph"/>
              <w:spacing w:before="107"/>
              <w:ind w:left="243" w:right="239"/>
              <w:rPr>
                <w:sz w:val="22"/>
              </w:rPr>
            </w:pPr>
            <w:r>
              <w:rPr>
                <w:sz w:val="22"/>
              </w:rPr>
              <w:t>16585.29</w:t>
            </w:r>
          </w:p>
        </w:tc>
        <w:tc>
          <w:tcPr>
            <w:tcW w:w="1862" w:type="dxa"/>
          </w:tcPr>
          <w:p>
            <w:pPr>
              <w:pStyle w:val="TableParagraph"/>
              <w:spacing w:line="240" w:lineRule="exact" w:before="1"/>
              <w:ind w:left="653" w:hanging="447"/>
              <w:jc w:val="left"/>
              <w:rPr>
                <w:sz w:val="22"/>
              </w:rPr>
            </w:pPr>
            <w:r>
              <w:rPr>
                <w:sz w:val="22"/>
              </w:rPr>
              <w:t>Аналитический метод</w:t>
            </w:r>
          </w:p>
        </w:tc>
        <w:tc>
          <w:tcPr>
            <w:tcW w:w="1747" w:type="dxa"/>
          </w:tcPr>
          <w:p>
            <w:pPr>
              <w:pStyle w:val="TableParagraph"/>
              <w:spacing w:before="107"/>
              <w:ind w:left="709" w:right="707"/>
              <w:rPr>
                <w:sz w:val="22"/>
              </w:rPr>
            </w:pPr>
            <w:r>
              <w:rPr>
                <w:sz w:val="22"/>
              </w:rPr>
              <w:t>0.5</w:t>
            </w:r>
          </w:p>
        </w:tc>
        <w:tc>
          <w:tcPr>
            <w:tcW w:w="1805" w:type="dxa"/>
          </w:tcPr>
          <w:p>
            <w:pPr>
              <w:pStyle w:val="TableParagraph"/>
              <w:spacing w:before="107"/>
              <w:ind w:left="86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0" w:hRule="atLeast"/>
        </w:trPr>
        <w:tc>
          <w:tcPr>
            <w:tcW w:w="2033" w:type="dxa"/>
          </w:tcPr>
          <w:p>
            <w:pPr>
              <w:pStyle w:val="TableParagraph"/>
              <w:spacing w:before="105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346" w:type="dxa"/>
          </w:tcPr>
          <w:p>
            <w:pPr>
              <w:pStyle w:val="TableParagraph"/>
              <w:spacing w:before="105"/>
              <w:ind w:left="180" w:right="176"/>
              <w:rPr>
                <w:sz w:val="22"/>
              </w:rPr>
            </w:pPr>
            <w:r>
              <w:rPr>
                <w:sz w:val="22"/>
              </w:rPr>
              <w:t>367489.30</w:t>
            </w:r>
          </w:p>
        </w:tc>
        <w:tc>
          <w:tcPr>
            <w:tcW w:w="1363" w:type="dxa"/>
          </w:tcPr>
          <w:p>
            <w:pPr>
              <w:pStyle w:val="TableParagraph"/>
              <w:spacing w:before="105"/>
              <w:ind w:left="243" w:right="239"/>
              <w:rPr>
                <w:sz w:val="22"/>
              </w:rPr>
            </w:pPr>
            <w:r>
              <w:rPr>
                <w:sz w:val="22"/>
              </w:rPr>
              <w:t>16591.73</w:t>
            </w:r>
          </w:p>
        </w:tc>
        <w:tc>
          <w:tcPr>
            <w:tcW w:w="1862" w:type="dxa"/>
          </w:tcPr>
          <w:p>
            <w:pPr>
              <w:pStyle w:val="TableParagraph"/>
              <w:spacing w:line="232" w:lineRule="exact"/>
              <w:ind w:left="172" w:right="170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3" w:lineRule="exact"/>
              <w:ind w:left="172" w:right="166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7" w:type="dxa"/>
          </w:tcPr>
          <w:p>
            <w:pPr>
              <w:pStyle w:val="TableParagraph"/>
              <w:spacing w:before="105"/>
              <w:ind w:left="709" w:right="707"/>
              <w:rPr>
                <w:sz w:val="22"/>
              </w:rPr>
            </w:pPr>
            <w:r>
              <w:rPr>
                <w:sz w:val="22"/>
              </w:rPr>
              <w:t>0.5</w:t>
            </w:r>
          </w:p>
        </w:tc>
        <w:tc>
          <w:tcPr>
            <w:tcW w:w="1805" w:type="dxa"/>
          </w:tcPr>
          <w:p>
            <w:pPr>
              <w:pStyle w:val="TableParagraph"/>
              <w:spacing w:before="105"/>
              <w:ind w:left="86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0" w:hRule="atLeast"/>
        </w:trPr>
        <w:tc>
          <w:tcPr>
            <w:tcW w:w="2033" w:type="dxa"/>
          </w:tcPr>
          <w:p>
            <w:pPr>
              <w:pStyle w:val="TableParagraph"/>
              <w:spacing w:before="107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346" w:type="dxa"/>
          </w:tcPr>
          <w:p>
            <w:pPr>
              <w:pStyle w:val="TableParagraph"/>
              <w:spacing w:before="107"/>
              <w:ind w:left="180" w:right="176"/>
              <w:rPr>
                <w:sz w:val="22"/>
              </w:rPr>
            </w:pPr>
            <w:r>
              <w:rPr>
                <w:sz w:val="22"/>
              </w:rPr>
              <w:t>367492.18</w:t>
            </w:r>
          </w:p>
        </w:tc>
        <w:tc>
          <w:tcPr>
            <w:tcW w:w="1363" w:type="dxa"/>
          </w:tcPr>
          <w:p>
            <w:pPr>
              <w:pStyle w:val="TableParagraph"/>
              <w:spacing w:before="107"/>
              <w:ind w:left="243" w:right="239"/>
              <w:rPr>
                <w:sz w:val="22"/>
              </w:rPr>
            </w:pPr>
            <w:r>
              <w:rPr>
                <w:sz w:val="22"/>
              </w:rPr>
              <w:t>16595.87</w:t>
            </w:r>
          </w:p>
        </w:tc>
        <w:tc>
          <w:tcPr>
            <w:tcW w:w="1862" w:type="dxa"/>
          </w:tcPr>
          <w:p>
            <w:pPr>
              <w:pStyle w:val="TableParagraph"/>
              <w:spacing w:line="240" w:lineRule="exact" w:before="1"/>
              <w:ind w:left="653" w:hanging="447"/>
              <w:jc w:val="left"/>
              <w:rPr>
                <w:sz w:val="22"/>
              </w:rPr>
            </w:pPr>
            <w:r>
              <w:rPr>
                <w:sz w:val="22"/>
              </w:rPr>
              <w:t>Аналитический метод</w:t>
            </w:r>
          </w:p>
        </w:tc>
        <w:tc>
          <w:tcPr>
            <w:tcW w:w="1747" w:type="dxa"/>
          </w:tcPr>
          <w:p>
            <w:pPr>
              <w:pStyle w:val="TableParagraph"/>
              <w:spacing w:before="107"/>
              <w:ind w:left="709" w:right="707"/>
              <w:rPr>
                <w:sz w:val="22"/>
              </w:rPr>
            </w:pPr>
            <w:r>
              <w:rPr>
                <w:sz w:val="22"/>
              </w:rPr>
              <w:t>0.5</w:t>
            </w:r>
          </w:p>
        </w:tc>
        <w:tc>
          <w:tcPr>
            <w:tcW w:w="1805" w:type="dxa"/>
          </w:tcPr>
          <w:p>
            <w:pPr>
              <w:pStyle w:val="TableParagraph"/>
              <w:spacing w:before="107"/>
              <w:ind w:left="86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0" w:hRule="atLeast"/>
        </w:trPr>
        <w:tc>
          <w:tcPr>
            <w:tcW w:w="2033" w:type="dxa"/>
          </w:tcPr>
          <w:p>
            <w:pPr>
              <w:pStyle w:val="TableParagraph"/>
              <w:spacing w:before="107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346" w:type="dxa"/>
          </w:tcPr>
          <w:p>
            <w:pPr>
              <w:pStyle w:val="TableParagraph"/>
              <w:spacing w:before="107"/>
              <w:ind w:left="180" w:right="176"/>
              <w:rPr>
                <w:sz w:val="22"/>
              </w:rPr>
            </w:pPr>
            <w:r>
              <w:rPr>
                <w:sz w:val="22"/>
              </w:rPr>
              <w:t>367483.95</w:t>
            </w:r>
          </w:p>
        </w:tc>
        <w:tc>
          <w:tcPr>
            <w:tcW w:w="1363" w:type="dxa"/>
          </w:tcPr>
          <w:p>
            <w:pPr>
              <w:pStyle w:val="TableParagraph"/>
              <w:spacing w:before="107"/>
              <w:ind w:left="243" w:right="239"/>
              <w:rPr>
                <w:sz w:val="22"/>
              </w:rPr>
            </w:pPr>
            <w:r>
              <w:rPr>
                <w:sz w:val="22"/>
              </w:rPr>
              <w:t>16601.57</w:t>
            </w:r>
          </w:p>
        </w:tc>
        <w:tc>
          <w:tcPr>
            <w:tcW w:w="1862" w:type="dxa"/>
          </w:tcPr>
          <w:p>
            <w:pPr>
              <w:pStyle w:val="TableParagraph"/>
              <w:spacing w:line="240" w:lineRule="exact" w:before="1"/>
              <w:ind w:left="653" w:hanging="447"/>
              <w:jc w:val="left"/>
              <w:rPr>
                <w:sz w:val="22"/>
              </w:rPr>
            </w:pPr>
            <w:r>
              <w:rPr>
                <w:sz w:val="22"/>
              </w:rPr>
              <w:t>Аналитический метод</w:t>
            </w:r>
          </w:p>
        </w:tc>
        <w:tc>
          <w:tcPr>
            <w:tcW w:w="1747" w:type="dxa"/>
          </w:tcPr>
          <w:p>
            <w:pPr>
              <w:pStyle w:val="TableParagraph"/>
              <w:spacing w:before="107"/>
              <w:ind w:left="709" w:right="707"/>
              <w:rPr>
                <w:sz w:val="22"/>
              </w:rPr>
            </w:pPr>
            <w:r>
              <w:rPr>
                <w:sz w:val="22"/>
              </w:rPr>
              <w:t>0.5</w:t>
            </w:r>
          </w:p>
        </w:tc>
        <w:tc>
          <w:tcPr>
            <w:tcW w:w="1805" w:type="dxa"/>
          </w:tcPr>
          <w:p>
            <w:pPr>
              <w:pStyle w:val="TableParagraph"/>
              <w:spacing w:before="107"/>
              <w:ind w:left="86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0" w:hRule="atLeast"/>
        </w:trPr>
        <w:tc>
          <w:tcPr>
            <w:tcW w:w="2033" w:type="dxa"/>
          </w:tcPr>
          <w:p>
            <w:pPr>
              <w:pStyle w:val="TableParagraph"/>
              <w:spacing w:before="107"/>
              <w:ind w:left="880" w:right="876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346" w:type="dxa"/>
          </w:tcPr>
          <w:p>
            <w:pPr>
              <w:pStyle w:val="TableParagraph"/>
              <w:spacing w:before="107"/>
              <w:ind w:left="180" w:right="176"/>
              <w:rPr>
                <w:sz w:val="22"/>
              </w:rPr>
            </w:pPr>
            <w:r>
              <w:rPr>
                <w:sz w:val="22"/>
              </w:rPr>
              <w:t>367481.13</w:t>
            </w:r>
          </w:p>
        </w:tc>
        <w:tc>
          <w:tcPr>
            <w:tcW w:w="1363" w:type="dxa"/>
          </w:tcPr>
          <w:p>
            <w:pPr>
              <w:pStyle w:val="TableParagraph"/>
              <w:spacing w:before="107"/>
              <w:ind w:left="243" w:right="239"/>
              <w:rPr>
                <w:sz w:val="22"/>
              </w:rPr>
            </w:pPr>
            <w:r>
              <w:rPr>
                <w:sz w:val="22"/>
              </w:rPr>
              <w:t>16597.48</w:t>
            </w:r>
          </w:p>
        </w:tc>
        <w:tc>
          <w:tcPr>
            <w:tcW w:w="1862" w:type="dxa"/>
          </w:tcPr>
          <w:p>
            <w:pPr>
              <w:pStyle w:val="TableParagraph"/>
              <w:spacing w:line="240" w:lineRule="exact" w:before="1"/>
              <w:ind w:left="653" w:hanging="447"/>
              <w:jc w:val="left"/>
              <w:rPr>
                <w:sz w:val="22"/>
              </w:rPr>
            </w:pPr>
            <w:r>
              <w:rPr>
                <w:sz w:val="22"/>
              </w:rPr>
              <w:t>Аналитический метод</w:t>
            </w:r>
          </w:p>
        </w:tc>
        <w:tc>
          <w:tcPr>
            <w:tcW w:w="1747" w:type="dxa"/>
          </w:tcPr>
          <w:p>
            <w:pPr>
              <w:pStyle w:val="TableParagraph"/>
              <w:spacing w:before="107"/>
              <w:ind w:left="709" w:right="707"/>
              <w:rPr>
                <w:sz w:val="22"/>
              </w:rPr>
            </w:pPr>
            <w:r>
              <w:rPr>
                <w:sz w:val="22"/>
              </w:rPr>
              <w:t>0.5</w:t>
            </w:r>
          </w:p>
        </w:tc>
        <w:tc>
          <w:tcPr>
            <w:tcW w:w="1805" w:type="dxa"/>
          </w:tcPr>
          <w:p>
            <w:pPr>
              <w:pStyle w:val="TableParagraph"/>
              <w:spacing w:before="107"/>
              <w:ind w:left="86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0" w:hRule="atLeast"/>
        </w:trPr>
        <w:tc>
          <w:tcPr>
            <w:tcW w:w="2033" w:type="dxa"/>
          </w:tcPr>
          <w:p>
            <w:pPr>
              <w:pStyle w:val="TableParagraph"/>
              <w:spacing w:before="107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346" w:type="dxa"/>
          </w:tcPr>
          <w:p>
            <w:pPr>
              <w:pStyle w:val="TableParagraph"/>
              <w:spacing w:before="107"/>
              <w:ind w:left="180" w:right="176"/>
              <w:rPr>
                <w:sz w:val="22"/>
              </w:rPr>
            </w:pPr>
            <w:r>
              <w:rPr>
                <w:sz w:val="22"/>
              </w:rPr>
              <w:t>367479.57</w:t>
            </w:r>
          </w:p>
        </w:tc>
        <w:tc>
          <w:tcPr>
            <w:tcW w:w="1363" w:type="dxa"/>
          </w:tcPr>
          <w:p>
            <w:pPr>
              <w:pStyle w:val="TableParagraph"/>
              <w:spacing w:before="107"/>
              <w:ind w:left="243" w:right="239"/>
              <w:rPr>
                <w:sz w:val="22"/>
              </w:rPr>
            </w:pPr>
            <w:r>
              <w:rPr>
                <w:sz w:val="22"/>
              </w:rPr>
              <w:t>16595.31</w:t>
            </w:r>
          </w:p>
        </w:tc>
        <w:tc>
          <w:tcPr>
            <w:tcW w:w="1862" w:type="dxa"/>
          </w:tcPr>
          <w:p>
            <w:pPr>
              <w:pStyle w:val="TableParagraph"/>
              <w:spacing w:line="240" w:lineRule="exact" w:before="1"/>
              <w:ind w:left="653" w:hanging="447"/>
              <w:jc w:val="left"/>
              <w:rPr>
                <w:sz w:val="22"/>
              </w:rPr>
            </w:pPr>
            <w:r>
              <w:rPr>
                <w:sz w:val="22"/>
              </w:rPr>
              <w:t>Аналитический метод</w:t>
            </w:r>
          </w:p>
        </w:tc>
        <w:tc>
          <w:tcPr>
            <w:tcW w:w="1747" w:type="dxa"/>
          </w:tcPr>
          <w:p>
            <w:pPr>
              <w:pStyle w:val="TableParagraph"/>
              <w:spacing w:before="107"/>
              <w:ind w:left="709" w:right="707"/>
              <w:rPr>
                <w:sz w:val="22"/>
              </w:rPr>
            </w:pPr>
            <w:r>
              <w:rPr>
                <w:sz w:val="22"/>
              </w:rPr>
              <w:t>0.5</w:t>
            </w:r>
          </w:p>
        </w:tc>
        <w:tc>
          <w:tcPr>
            <w:tcW w:w="1805" w:type="dxa"/>
          </w:tcPr>
          <w:p>
            <w:pPr>
              <w:pStyle w:val="TableParagraph"/>
              <w:spacing w:before="107"/>
              <w:ind w:left="86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0" w:hRule="atLeast"/>
        </w:trPr>
        <w:tc>
          <w:tcPr>
            <w:tcW w:w="10157" w:type="dxa"/>
            <w:gridSpan w:val="6"/>
          </w:tcPr>
          <w:p>
            <w:pPr>
              <w:pStyle w:val="TableParagraph"/>
              <w:spacing w:before="28"/>
              <w:ind w:left="65"/>
              <w:jc w:val="left"/>
              <w:rPr>
                <w:sz w:val="22"/>
              </w:rPr>
            </w:pPr>
            <w:r>
              <w:rPr>
                <w:sz w:val="22"/>
              </w:rPr>
              <w:t>3. Сведения  о  характерных  точках  части  (частей)  границы объекта</w:t>
            </w:r>
          </w:p>
        </w:tc>
      </w:tr>
      <w:tr>
        <w:trPr>
          <w:trHeight w:val="760" w:hRule="atLeast"/>
        </w:trPr>
        <w:tc>
          <w:tcPr>
            <w:tcW w:w="2033" w:type="dxa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1"/>
              <w:ind w:left="60" w:right="51" w:hanging="1"/>
              <w:rPr>
                <w:b/>
                <w:sz w:val="22"/>
              </w:rPr>
            </w:pPr>
            <w:r>
              <w:rPr>
                <w:b/>
                <w:spacing w:val="-3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710" w:type="dxa"/>
            <w:gridSpan w:val="2"/>
          </w:tcPr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ind w:left="603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Координаты, м</w:t>
            </w:r>
          </w:p>
        </w:tc>
        <w:tc>
          <w:tcPr>
            <w:tcW w:w="1862" w:type="dxa"/>
            <w:vMerge w:val="restart"/>
          </w:tcPr>
          <w:p>
            <w:pPr>
              <w:pStyle w:val="TableParagraph"/>
              <w:spacing w:line="228" w:lineRule="auto" w:before="180"/>
              <w:ind w:left="303" w:right="296" w:firstLine="1"/>
              <w:rPr>
                <w:b/>
                <w:sz w:val="22"/>
              </w:rPr>
            </w:pPr>
            <w:r>
              <w:rPr>
                <w:b/>
                <w:sz w:val="22"/>
              </w:rPr>
              <w:t>Метод </w:t>
            </w:r>
            <w:r>
              <w:rPr>
                <w:b/>
                <w:spacing w:val="-3"/>
                <w:sz w:val="22"/>
              </w:rPr>
              <w:t>определения координат </w:t>
            </w:r>
            <w:r>
              <w:rPr>
                <w:b/>
                <w:spacing w:val="-4"/>
                <w:sz w:val="22"/>
              </w:rPr>
              <w:t>характерной </w:t>
            </w:r>
            <w:r>
              <w:rPr>
                <w:b/>
                <w:spacing w:val="-3"/>
                <w:sz w:val="22"/>
              </w:rPr>
              <w:t>точки</w:t>
            </w:r>
          </w:p>
        </w:tc>
        <w:tc>
          <w:tcPr>
            <w:tcW w:w="1747" w:type="dxa"/>
            <w:vMerge w:val="restart"/>
          </w:tcPr>
          <w:p>
            <w:pPr>
              <w:pStyle w:val="TableParagraph"/>
              <w:spacing w:line="228" w:lineRule="auto" w:before="60"/>
              <w:ind w:left="75" w:right="71" w:firstLine="3"/>
              <w:rPr>
                <w:b/>
                <w:sz w:val="22"/>
              </w:rPr>
            </w:pPr>
            <w:r>
              <w:rPr>
                <w:b/>
                <w:spacing w:val="-3"/>
                <w:sz w:val="22"/>
              </w:rPr>
              <w:t>Средняя квадратическая погрешность </w:t>
            </w:r>
            <w:r>
              <w:rPr>
                <w:b/>
                <w:spacing w:val="-4"/>
                <w:sz w:val="22"/>
              </w:rPr>
              <w:t>положения характерной </w:t>
            </w:r>
            <w:r>
              <w:rPr>
                <w:b/>
                <w:spacing w:val="-3"/>
                <w:sz w:val="22"/>
              </w:rPr>
              <w:t>точки </w:t>
            </w:r>
            <w:r>
              <w:rPr>
                <w:b/>
                <w:sz w:val="22"/>
              </w:rPr>
              <w:t>(Мt), м</w:t>
            </w:r>
          </w:p>
        </w:tc>
        <w:tc>
          <w:tcPr>
            <w:tcW w:w="1805" w:type="dxa"/>
            <w:vMerge w:val="restart"/>
          </w:tcPr>
          <w:p>
            <w:pPr>
              <w:pStyle w:val="TableParagraph"/>
              <w:spacing w:line="228" w:lineRule="auto" w:before="180"/>
              <w:ind w:left="147" w:right="138" w:hanging="5"/>
              <w:rPr>
                <w:b/>
                <w:sz w:val="22"/>
              </w:rPr>
            </w:pPr>
            <w:r>
              <w:rPr>
                <w:b/>
                <w:spacing w:val="-3"/>
                <w:sz w:val="22"/>
              </w:rPr>
              <w:t>Описание обозначения точки на местности </w:t>
            </w:r>
            <w:r>
              <w:rPr>
                <w:b/>
                <w:sz w:val="22"/>
              </w:rPr>
              <w:t>(при </w:t>
            </w:r>
            <w:r>
              <w:rPr>
                <w:b/>
                <w:spacing w:val="-3"/>
                <w:sz w:val="22"/>
              </w:rPr>
              <w:t>наличии)</w:t>
            </w:r>
          </w:p>
        </w:tc>
      </w:tr>
      <w:tr>
        <w:trPr>
          <w:trHeight w:val="760" w:hRule="atLeast"/>
        </w:trPr>
        <w:tc>
          <w:tcPr>
            <w:tcW w:w="20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X</w:t>
            </w:r>
          </w:p>
        </w:tc>
        <w:tc>
          <w:tcPr>
            <w:tcW w:w="1363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8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Y</w:t>
            </w:r>
          </w:p>
        </w:tc>
        <w:tc>
          <w:tcPr>
            <w:tcW w:w="18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0" w:hRule="atLeast"/>
        </w:trPr>
        <w:tc>
          <w:tcPr>
            <w:tcW w:w="2033" w:type="dxa"/>
          </w:tcPr>
          <w:p>
            <w:pPr>
              <w:pStyle w:val="TableParagraph"/>
              <w:spacing w:before="33"/>
              <w:ind w:left="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346" w:type="dxa"/>
          </w:tcPr>
          <w:p>
            <w:pPr>
              <w:pStyle w:val="TableParagraph"/>
              <w:spacing w:before="33"/>
              <w:ind w:left="4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1363" w:type="dxa"/>
          </w:tcPr>
          <w:p>
            <w:pPr>
              <w:pStyle w:val="TableParagraph"/>
              <w:spacing w:before="33"/>
              <w:ind w:left="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1862" w:type="dxa"/>
          </w:tcPr>
          <w:p>
            <w:pPr>
              <w:pStyle w:val="TableParagraph"/>
              <w:spacing w:before="33"/>
              <w:ind w:left="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1747" w:type="dxa"/>
          </w:tcPr>
          <w:p>
            <w:pPr>
              <w:pStyle w:val="TableParagraph"/>
              <w:spacing w:before="33"/>
              <w:ind w:left="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1805" w:type="dxa"/>
          </w:tcPr>
          <w:p>
            <w:pPr>
              <w:pStyle w:val="TableParagraph"/>
              <w:spacing w:before="33"/>
              <w:ind w:left="843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</w:tr>
      <w:tr>
        <w:trPr>
          <w:trHeight w:val="300" w:hRule="atLeast"/>
        </w:trPr>
        <w:tc>
          <w:tcPr>
            <w:tcW w:w="2033" w:type="dxa"/>
          </w:tcPr>
          <w:p>
            <w:pPr>
              <w:pStyle w:val="TableParagraph"/>
              <w:spacing w:before="21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46" w:type="dxa"/>
          </w:tcPr>
          <w:p>
            <w:pPr>
              <w:pStyle w:val="TableParagraph"/>
              <w:spacing w:before="21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63" w:type="dxa"/>
          </w:tcPr>
          <w:p>
            <w:pPr>
              <w:pStyle w:val="TableParagraph"/>
              <w:spacing w:before="21"/>
              <w:ind w:left="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862" w:type="dxa"/>
          </w:tcPr>
          <w:p>
            <w:pPr>
              <w:pStyle w:val="TableParagraph"/>
              <w:spacing w:before="21"/>
              <w:ind w:left="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747" w:type="dxa"/>
          </w:tcPr>
          <w:p>
            <w:pPr>
              <w:pStyle w:val="TableParagraph"/>
              <w:spacing w:before="21"/>
              <w:ind w:left="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805" w:type="dxa"/>
          </w:tcPr>
          <w:p>
            <w:pPr>
              <w:pStyle w:val="TableParagraph"/>
              <w:spacing w:before="21"/>
              <w:ind w:left="86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1960" w:hRule="atLeast"/>
        </w:trPr>
        <w:tc>
          <w:tcPr>
            <w:tcW w:w="10157" w:type="dxa"/>
            <w:gridSpan w:val="6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</w:tbl>
    <w:p>
      <w:pPr>
        <w:spacing w:after="0"/>
        <w:jc w:val="left"/>
        <w:rPr>
          <w:sz w:val="22"/>
        </w:rPr>
        <w:sectPr>
          <w:pgSz w:w="11910" w:h="16850"/>
          <w:pgMar w:top="560" w:bottom="280" w:left="1020" w:right="480"/>
        </w:sectPr>
      </w:pPr>
    </w:p>
    <w:tbl>
      <w:tblPr>
        <w:tblW w:w="0" w:type="auto"/>
        <w:jc w:val="left"/>
        <w:tblInd w:w="1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04"/>
        <w:gridCol w:w="1073"/>
        <w:gridCol w:w="1075"/>
        <w:gridCol w:w="1075"/>
        <w:gridCol w:w="1018"/>
        <w:gridCol w:w="1519"/>
        <w:gridCol w:w="1690"/>
        <w:gridCol w:w="1303"/>
      </w:tblGrid>
      <w:tr>
        <w:trPr>
          <w:trHeight w:val="540" w:hRule="atLeast"/>
        </w:trPr>
        <w:tc>
          <w:tcPr>
            <w:tcW w:w="10157" w:type="dxa"/>
            <w:gridSpan w:val="8"/>
            <w:tcBorders>
              <w:bottom w:val="single" w:sz="2" w:space="0" w:color="000000"/>
            </w:tcBorders>
          </w:tcPr>
          <w:p>
            <w:pPr>
              <w:pStyle w:val="TableParagraph"/>
              <w:spacing w:before="104"/>
              <w:ind w:left="92" w:right="84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 3</w:t>
            </w:r>
          </w:p>
        </w:tc>
      </w:tr>
      <w:tr>
        <w:trPr>
          <w:trHeight w:val="560" w:hRule="atLeast"/>
        </w:trPr>
        <w:tc>
          <w:tcPr>
            <w:tcW w:w="10157" w:type="dxa"/>
            <w:gridSpan w:val="8"/>
            <w:tcBorders>
              <w:top w:val="single" w:sz="2" w:space="0" w:color="000000"/>
            </w:tcBorders>
          </w:tcPr>
          <w:p>
            <w:pPr>
              <w:pStyle w:val="TableParagraph"/>
              <w:spacing w:before="89"/>
              <w:ind w:left="58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Сведения о местоположении измененных (уточненных) границ объекта</w:t>
            </w:r>
          </w:p>
        </w:tc>
      </w:tr>
      <w:tr>
        <w:trPr>
          <w:trHeight w:val="420" w:hRule="atLeast"/>
        </w:trPr>
        <w:tc>
          <w:tcPr>
            <w:tcW w:w="10157" w:type="dxa"/>
            <w:gridSpan w:val="8"/>
          </w:tcPr>
          <w:p>
            <w:pPr>
              <w:pStyle w:val="TableParagraph"/>
              <w:spacing w:before="78"/>
              <w:ind w:left="65"/>
              <w:jc w:val="left"/>
              <w:rPr>
                <w:sz w:val="22"/>
              </w:rPr>
            </w:pPr>
            <w:r>
              <w:rPr>
                <w:sz w:val="22"/>
              </w:rPr>
              <w:t>1. Система координат   -</w:t>
            </w:r>
          </w:p>
        </w:tc>
      </w:tr>
      <w:tr>
        <w:trPr>
          <w:trHeight w:val="320" w:hRule="atLeast"/>
        </w:trPr>
        <w:tc>
          <w:tcPr>
            <w:tcW w:w="10157" w:type="dxa"/>
            <w:gridSpan w:val="8"/>
          </w:tcPr>
          <w:p>
            <w:pPr>
              <w:pStyle w:val="TableParagraph"/>
              <w:spacing w:before="28"/>
              <w:ind w:left="65"/>
              <w:jc w:val="left"/>
              <w:rPr>
                <w:sz w:val="22"/>
              </w:rPr>
            </w:pPr>
            <w:r>
              <w:rPr>
                <w:sz w:val="22"/>
              </w:rPr>
              <w:t>2. Сведения о характерных точках границ объекта</w:t>
            </w:r>
          </w:p>
        </w:tc>
      </w:tr>
      <w:tr>
        <w:trPr>
          <w:trHeight w:val="760" w:hRule="atLeast"/>
        </w:trPr>
        <w:tc>
          <w:tcPr>
            <w:tcW w:w="1404" w:type="dxa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line="228" w:lineRule="auto" w:before="144"/>
              <w:ind w:left="41" w:right="35" w:firstLine="19"/>
              <w:jc w:val="both"/>
              <w:rPr>
                <w:b/>
                <w:sz w:val="22"/>
              </w:rPr>
            </w:pPr>
            <w:r>
              <w:rPr>
                <w:b/>
                <w:spacing w:val="-3"/>
                <w:sz w:val="22"/>
              </w:rPr>
              <w:t>Обозначение характерных точек границ</w:t>
            </w:r>
          </w:p>
        </w:tc>
        <w:tc>
          <w:tcPr>
            <w:tcW w:w="2148" w:type="dxa"/>
            <w:gridSpan w:val="2"/>
          </w:tcPr>
          <w:p>
            <w:pPr>
              <w:pStyle w:val="TableParagraph"/>
              <w:spacing w:line="230" w:lineRule="auto" w:before="144"/>
              <w:ind w:left="339" w:hanging="41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Существующие координаты, м</w:t>
            </w:r>
          </w:p>
        </w:tc>
        <w:tc>
          <w:tcPr>
            <w:tcW w:w="2093" w:type="dxa"/>
            <w:gridSpan w:val="2"/>
          </w:tcPr>
          <w:p>
            <w:pPr>
              <w:pStyle w:val="TableParagraph"/>
              <w:spacing w:line="228" w:lineRule="auto" w:before="26"/>
              <w:ind w:left="310" w:right="304" w:firstLine="112"/>
              <w:jc w:val="both"/>
              <w:rPr>
                <w:b/>
                <w:sz w:val="22"/>
              </w:rPr>
            </w:pPr>
            <w:r>
              <w:rPr>
                <w:b/>
                <w:spacing w:val="-3"/>
                <w:sz w:val="22"/>
              </w:rPr>
              <w:t>Измененные (уточненные) координаты, </w:t>
            </w:r>
            <w:r>
              <w:rPr>
                <w:b/>
                <w:sz w:val="22"/>
              </w:rPr>
              <w:t>м</w:t>
            </w:r>
          </w:p>
        </w:tc>
        <w:tc>
          <w:tcPr>
            <w:tcW w:w="1519" w:type="dxa"/>
            <w:vMerge w:val="restart"/>
          </w:tcPr>
          <w:p>
            <w:pPr>
              <w:pStyle w:val="TableParagraph"/>
              <w:spacing w:line="228" w:lineRule="auto" w:before="180"/>
              <w:ind w:left="130" w:right="126" w:firstLine="1"/>
              <w:rPr>
                <w:b/>
                <w:sz w:val="22"/>
              </w:rPr>
            </w:pPr>
            <w:r>
              <w:rPr>
                <w:b/>
                <w:sz w:val="22"/>
              </w:rPr>
              <w:t>Метод </w:t>
            </w:r>
            <w:r>
              <w:rPr>
                <w:b/>
                <w:spacing w:val="-3"/>
                <w:sz w:val="22"/>
              </w:rPr>
              <w:t>определения координат </w:t>
            </w:r>
            <w:r>
              <w:rPr>
                <w:b/>
                <w:spacing w:val="-4"/>
                <w:sz w:val="22"/>
              </w:rPr>
              <w:t>характерной </w:t>
            </w:r>
            <w:r>
              <w:rPr>
                <w:b/>
                <w:spacing w:val="-3"/>
                <w:sz w:val="22"/>
              </w:rPr>
              <w:t>точки</w:t>
            </w:r>
          </w:p>
        </w:tc>
        <w:tc>
          <w:tcPr>
            <w:tcW w:w="1690" w:type="dxa"/>
            <w:vMerge w:val="restart"/>
          </w:tcPr>
          <w:p>
            <w:pPr>
              <w:pStyle w:val="TableParagraph"/>
              <w:spacing w:line="228" w:lineRule="auto" w:before="57"/>
              <w:ind w:left="48" w:right="40" w:hanging="2"/>
              <w:rPr>
                <w:b/>
                <w:sz w:val="22"/>
              </w:rPr>
            </w:pPr>
            <w:r>
              <w:rPr>
                <w:b/>
                <w:spacing w:val="-3"/>
                <w:sz w:val="22"/>
              </w:rPr>
              <w:t>Средняя квадратическая погрешность </w:t>
            </w:r>
            <w:r>
              <w:rPr>
                <w:b/>
                <w:spacing w:val="-4"/>
                <w:sz w:val="22"/>
              </w:rPr>
              <w:t>положения характерной </w:t>
            </w:r>
            <w:r>
              <w:rPr>
                <w:b/>
                <w:spacing w:val="-3"/>
                <w:sz w:val="22"/>
              </w:rPr>
              <w:t>точки </w:t>
            </w:r>
            <w:r>
              <w:rPr>
                <w:b/>
                <w:sz w:val="22"/>
              </w:rPr>
              <w:t>(Мt), м</w:t>
            </w:r>
          </w:p>
        </w:tc>
        <w:tc>
          <w:tcPr>
            <w:tcW w:w="1303" w:type="dxa"/>
            <w:vMerge w:val="restart"/>
          </w:tcPr>
          <w:p>
            <w:pPr>
              <w:pStyle w:val="TableParagraph"/>
              <w:spacing w:line="228" w:lineRule="auto" w:before="57"/>
              <w:ind w:left="14" w:right="8"/>
              <w:rPr>
                <w:b/>
                <w:sz w:val="22"/>
              </w:rPr>
            </w:pPr>
            <w:r>
              <w:rPr>
                <w:b/>
                <w:sz w:val="22"/>
              </w:rPr>
              <w:t>Описание обозначения точки на местности (при наличии)</w:t>
            </w:r>
          </w:p>
        </w:tc>
      </w:tr>
      <w:tr>
        <w:trPr>
          <w:trHeight w:val="760" w:hRule="atLeast"/>
        </w:trPr>
        <w:tc>
          <w:tcPr>
            <w:tcW w:w="14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0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X</w:t>
            </w:r>
          </w:p>
        </w:tc>
        <w:tc>
          <w:tcPr>
            <w:tcW w:w="1075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454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Y</w:t>
            </w:r>
          </w:p>
        </w:tc>
        <w:tc>
          <w:tcPr>
            <w:tcW w:w="1075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454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X</w:t>
            </w:r>
          </w:p>
        </w:tc>
        <w:tc>
          <w:tcPr>
            <w:tcW w:w="1018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right="415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Y</w:t>
            </w:r>
          </w:p>
        </w:tc>
        <w:tc>
          <w:tcPr>
            <w:tcW w:w="15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0" w:hRule="atLeast"/>
        </w:trPr>
        <w:tc>
          <w:tcPr>
            <w:tcW w:w="1404" w:type="dxa"/>
          </w:tcPr>
          <w:p>
            <w:pPr>
              <w:pStyle w:val="TableParagraph"/>
              <w:spacing w:before="33"/>
              <w:ind w:left="641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073" w:type="dxa"/>
          </w:tcPr>
          <w:p>
            <w:pPr>
              <w:pStyle w:val="TableParagraph"/>
              <w:spacing w:before="33"/>
              <w:ind w:left="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1075" w:type="dxa"/>
          </w:tcPr>
          <w:p>
            <w:pPr>
              <w:pStyle w:val="TableParagraph"/>
              <w:spacing w:before="33"/>
              <w:ind w:left="478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1075" w:type="dxa"/>
          </w:tcPr>
          <w:p>
            <w:pPr>
              <w:pStyle w:val="TableParagraph"/>
              <w:spacing w:before="33"/>
              <w:ind w:left="478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1018" w:type="dxa"/>
          </w:tcPr>
          <w:p>
            <w:pPr>
              <w:pStyle w:val="TableParagraph"/>
              <w:spacing w:before="33"/>
              <w:ind w:right="440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1519" w:type="dxa"/>
          </w:tcPr>
          <w:p>
            <w:pPr>
              <w:pStyle w:val="TableParagraph"/>
              <w:spacing w:before="33"/>
              <w:ind w:left="4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  <w:tc>
          <w:tcPr>
            <w:tcW w:w="1690" w:type="dxa"/>
          </w:tcPr>
          <w:p>
            <w:pPr>
              <w:pStyle w:val="TableParagraph"/>
              <w:spacing w:before="33"/>
              <w:ind w:left="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7</w:t>
            </w:r>
          </w:p>
        </w:tc>
        <w:tc>
          <w:tcPr>
            <w:tcW w:w="1303" w:type="dxa"/>
          </w:tcPr>
          <w:p>
            <w:pPr>
              <w:pStyle w:val="TableParagraph"/>
              <w:spacing w:before="33"/>
              <w:ind w:left="4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8</w:t>
            </w:r>
          </w:p>
        </w:tc>
      </w:tr>
      <w:tr>
        <w:trPr>
          <w:trHeight w:val="300" w:hRule="atLeast"/>
        </w:trPr>
        <w:tc>
          <w:tcPr>
            <w:tcW w:w="1404" w:type="dxa"/>
          </w:tcPr>
          <w:p>
            <w:pPr>
              <w:pStyle w:val="TableParagraph"/>
              <w:spacing w:before="21"/>
              <w:ind w:left="658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73" w:type="dxa"/>
          </w:tcPr>
          <w:p>
            <w:pPr>
              <w:pStyle w:val="TableParagraph"/>
              <w:spacing w:before="21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75" w:type="dxa"/>
          </w:tcPr>
          <w:p>
            <w:pPr>
              <w:pStyle w:val="TableParagraph"/>
              <w:spacing w:before="21"/>
              <w:ind w:left="49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75" w:type="dxa"/>
          </w:tcPr>
          <w:p>
            <w:pPr>
              <w:pStyle w:val="TableParagraph"/>
              <w:spacing w:before="21"/>
              <w:ind w:left="49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18" w:type="dxa"/>
          </w:tcPr>
          <w:p>
            <w:pPr>
              <w:pStyle w:val="TableParagraph"/>
              <w:spacing w:before="21"/>
              <w:ind w:right="46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21"/>
              <w:ind w:left="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690" w:type="dxa"/>
          </w:tcPr>
          <w:p>
            <w:pPr>
              <w:pStyle w:val="TableParagraph"/>
              <w:spacing w:before="21"/>
              <w:ind w:left="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03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320" w:hRule="atLeast"/>
        </w:trPr>
        <w:tc>
          <w:tcPr>
            <w:tcW w:w="10157" w:type="dxa"/>
            <w:gridSpan w:val="8"/>
          </w:tcPr>
          <w:p>
            <w:pPr>
              <w:pStyle w:val="TableParagraph"/>
              <w:spacing w:before="28"/>
              <w:ind w:left="65"/>
              <w:jc w:val="left"/>
              <w:rPr>
                <w:sz w:val="22"/>
              </w:rPr>
            </w:pPr>
            <w:r>
              <w:rPr>
                <w:sz w:val="22"/>
              </w:rPr>
              <w:t>3. Сведения  о  характерных  точках  части  (частей)  границы объекта</w:t>
            </w:r>
          </w:p>
        </w:tc>
      </w:tr>
      <w:tr>
        <w:trPr>
          <w:trHeight w:val="760" w:hRule="atLeast"/>
        </w:trPr>
        <w:tc>
          <w:tcPr>
            <w:tcW w:w="1404" w:type="dxa"/>
            <w:vMerge w:val="restart"/>
          </w:tcPr>
          <w:p>
            <w:pPr>
              <w:pStyle w:val="TableParagraph"/>
              <w:spacing w:before="7"/>
              <w:jc w:val="left"/>
              <w:rPr>
                <w:sz w:val="25"/>
              </w:rPr>
            </w:pPr>
          </w:p>
          <w:p>
            <w:pPr>
              <w:pStyle w:val="TableParagraph"/>
              <w:spacing w:line="230" w:lineRule="auto"/>
              <w:ind w:left="51" w:right="39" w:hanging="8"/>
              <w:rPr>
                <w:b/>
                <w:sz w:val="22"/>
              </w:rPr>
            </w:pPr>
            <w:r>
              <w:rPr>
                <w:b/>
                <w:spacing w:val="-3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148" w:type="dxa"/>
            <w:gridSpan w:val="2"/>
          </w:tcPr>
          <w:p>
            <w:pPr>
              <w:pStyle w:val="TableParagraph"/>
              <w:spacing w:line="228" w:lineRule="auto" w:before="146"/>
              <w:ind w:left="339" w:hanging="41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Существующие координаты, м</w:t>
            </w:r>
          </w:p>
        </w:tc>
        <w:tc>
          <w:tcPr>
            <w:tcW w:w="2093" w:type="dxa"/>
            <w:gridSpan w:val="2"/>
          </w:tcPr>
          <w:p>
            <w:pPr>
              <w:pStyle w:val="TableParagraph"/>
              <w:spacing w:line="230" w:lineRule="auto" w:before="21"/>
              <w:ind w:left="310" w:right="304" w:firstLine="112"/>
              <w:jc w:val="both"/>
              <w:rPr>
                <w:b/>
                <w:sz w:val="22"/>
              </w:rPr>
            </w:pPr>
            <w:r>
              <w:rPr>
                <w:b/>
                <w:spacing w:val="-3"/>
                <w:sz w:val="22"/>
              </w:rPr>
              <w:t>Измененные (уточненные) координаты, </w:t>
            </w:r>
            <w:r>
              <w:rPr>
                <w:b/>
                <w:sz w:val="22"/>
              </w:rPr>
              <w:t>м</w:t>
            </w:r>
          </w:p>
        </w:tc>
        <w:tc>
          <w:tcPr>
            <w:tcW w:w="1519" w:type="dxa"/>
            <w:vMerge w:val="restart"/>
          </w:tcPr>
          <w:p>
            <w:pPr>
              <w:pStyle w:val="TableParagraph"/>
              <w:spacing w:line="228" w:lineRule="auto" w:before="177"/>
              <w:ind w:left="130" w:right="126" w:firstLine="1"/>
              <w:rPr>
                <w:b/>
                <w:sz w:val="22"/>
              </w:rPr>
            </w:pPr>
            <w:r>
              <w:rPr>
                <w:b/>
                <w:sz w:val="22"/>
              </w:rPr>
              <w:t>Метод </w:t>
            </w:r>
            <w:r>
              <w:rPr>
                <w:b/>
                <w:spacing w:val="-3"/>
                <w:sz w:val="22"/>
              </w:rPr>
              <w:t>определения координат </w:t>
            </w:r>
            <w:r>
              <w:rPr>
                <w:b/>
                <w:spacing w:val="-4"/>
                <w:sz w:val="22"/>
              </w:rPr>
              <w:t>характерной </w:t>
            </w:r>
            <w:r>
              <w:rPr>
                <w:b/>
                <w:spacing w:val="-3"/>
                <w:sz w:val="22"/>
              </w:rPr>
              <w:t>точки</w:t>
            </w:r>
          </w:p>
        </w:tc>
        <w:tc>
          <w:tcPr>
            <w:tcW w:w="1690" w:type="dxa"/>
            <w:vMerge w:val="restart"/>
          </w:tcPr>
          <w:p>
            <w:pPr>
              <w:pStyle w:val="TableParagraph"/>
              <w:spacing w:line="228" w:lineRule="auto" w:before="57"/>
              <w:ind w:left="48" w:right="40" w:hanging="2"/>
              <w:rPr>
                <w:b/>
                <w:sz w:val="22"/>
              </w:rPr>
            </w:pPr>
            <w:r>
              <w:rPr>
                <w:b/>
                <w:spacing w:val="-3"/>
                <w:sz w:val="22"/>
              </w:rPr>
              <w:t>Средняя квадратическая погрешность </w:t>
            </w:r>
            <w:r>
              <w:rPr>
                <w:b/>
                <w:spacing w:val="-4"/>
                <w:sz w:val="22"/>
              </w:rPr>
              <w:t>положения характерной </w:t>
            </w:r>
            <w:r>
              <w:rPr>
                <w:b/>
                <w:spacing w:val="-3"/>
                <w:sz w:val="22"/>
              </w:rPr>
              <w:t>точки </w:t>
            </w:r>
            <w:r>
              <w:rPr>
                <w:b/>
                <w:sz w:val="22"/>
              </w:rPr>
              <w:t>(Мt), м</w:t>
            </w:r>
          </w:p>
        </w:tc>
        <w:tc>
          <w:tcPr>
            <w:tcW w:w="1303" w:type="dxa"/>
            <w:vMerge w:val="restart"/>
          </w:tcPr>
          <w:p>
            <w:pPr>
              <w:pStyle w:val="TableParagraph"/>
              <w:spacing w:line="228" w:lineRule="auto" w:before="57"/>
              <w:ind w:left="14" w:right="8"/>
              <w:rPr>
                <w:b/>
                <w:sz w:val="22"/>
              </w:rPr>
            </w:pPr>
            <w:r>
              <w:rPr>
                <w:b/>
                <w:sz w:val="22"/>
              </w:rPr>
              <w:t>Описание обозначения точки на местности (при наличии)</w:t>
            </w:r>
          </w:p>
        </w:tc>
      </w:tr>
      <w:tr>
        <w:trPr>
          <w:trHeight w:val="760" w:hRule="atLeast"/>
        </w:trPr>
        <w:tc>
          <w:tcPr>
            <w:tcW w:w="14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0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X</w:t>
            </w:r>
          </w:p>
        </w:tc>
        <w:tc>
          <w:tcPr>
            <w:tcW w:w="1075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454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Y</w:t>
            </w:r>
          </w:p>
        </w:tc>
        <w:tc>
          <w:tcPr>
            <w:tcW w:w="1075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454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X</w:t>
            </w:r>
          </w:p>
        </w:tc>
        <w:tc>
          <w:tcPr>
            <w:tcW w:w="1018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right="415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Y</w:t>
            </w:r>
          </w:p>
        </w:tc>
        <w:tc>
          <w:tcPr>
            <w:tcW w:w="15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0" w:hRule="atLeast"/>
        </w:trPr>
        <w:tc>
          <w:tcPr>
            <w:tcW w:w="1404" w:type="dxa"/>
          </w:tcPr>
          <w:p>
            <w:pPr>
              <w:pStyle w:val="TableParagraph"/>
              <w:spacing w:before="33"/>
              <w:ind w:left="641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073" w:type="dxa"/>
          </w:tcPr>
          <w:p>
            <w:pPr>
              <w:pStyle w:val="TableParagraph"/>
              <w:spacing w:before="33"/>
              <w:ind w:left="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1075" w:type="dxa"/>
          </w:tcPr>
          <w:p>
            <w:pPr>
              <w:pStyle w:val="TableParagraph"/>
              <w:spacing w:before="33"/>
              <w:ind w:left="478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1075" w:type="dxa"/>
          </w:tcPr>
          <w:p>
            <w:pPr>
              <w:pStyle w:val="TableParagraph"/>
              <w:spacing w:before="33"/>
              <w:ind w:left="478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1018" w:type="dxa"/>
          </w:tcPr>
          <w:p>
            <w:pPr>
              <w:pStyle w:val="TableParagraph"/>
              <w:spacing w:before="33"/>
              <w:ind w:right="440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1519" w:type="dxa"/>
          </w:tcPr>
          <w:p>
            <w:pPr>
              <w:pStyle w:val="TableParagraph"/>
              <w:spacing w:before="33"/>
              <w:ind w:left="4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  <w:tc>
          <w:tcPr>
            <w:tcW w:w="1690" w:type="dxa"/>
            <w:tcBorders>
              <w:right w:val="nil"/>
            </w:tcBorders>
          </w:tcPr>
          <w:p>
            <w:pPr>
              <w:pStyle w:val="TableParagraph"/>
              <w:spacing w:before="33"/>
              <w:ind w:left="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7</w:t>
            </w:r>
          </w:p>
        </w:tc>
        <w:tc>
          <w:tcPr>
            <w:tcW w:w="1303" w:type="dxa"/>
            <w:tcBorders>
              <w:left w:val="nil"/>
            </w:tcBorders>
          </w:tcPr>
          <w:p>
            <w:pPr>
              <w:pStyle w:val="TableParagraph"/>
              <w:spacing w:before="33"/>
              <w:ind w:left="11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8</w:t>
            </w:r>
          </w:p>
        </w:tc>
      </w:tr>
      <w:tr>
        <w:trPr>
          <w:trHeight w:val="300" w:hRule="atLeast"/>
        </w:trPr>
        <w:tc>
          <w:tcPr>
            <w:tcW w:w="1404" w:type="dxa"/>
          </w:tcPr>
          <w:p>
            <w:pPr>
              <w:pStyle w:val="TableParagraph"/>
              <w:spacing w:before="21"/>
              <w:ind w:left="658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73" w:type="dxa"/>
          </w:tcPr>
          <w:p>
            <w:pPr>
              <w:pStyle w:val="TableParagraph"/>
              <w:spacing w:before="21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75" w:type="dxa"/>
          </w:tcPr>
          <w:p>
            <w:pPr>
              <w:pStyle w:val="TableParagraph"/>
              <w:spacing w:before="21"/>
              <w:ind w:left="49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75" w:type="dxa"/>
          </w:tcPr>
          <w:p>
            <w:pPr>
              <w:pStyle w:val="TableParagraph"/>
              <w:spacing w:before="21"/>
              <w:ind w:left="49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18" w:type="dxa"/>
          </w:tcPr>
          <w:p>
            <w:pPr>
              <w:pStyle w:val="TableParagraph"/>
              <w:spacing w:before="21"/>
              <w:ind w:right="46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21"/>
              <w:ind w:left="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690" w:type="dxa"/>
          </w:tcPr>
          <w:p>
            <w:pPr>
              <w:pStyle w:val="TableParagraph"/>
              <w:spacing w:before="21"/>
              <w:ind w:left="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03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8380" w:hRule="atLeast"/>
        </w:trPr>
        <w:tc>
          <w:tcPr>
            <w:tcW w:w="10157" w:type="dxa"/>
            <w:gridSpan w:val="8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</w:tbl>
    <w:p>
      <w:pPr>
        <w:spacing w:after="0"/>
        <w:jc w:val="left"/>
        <w:rPr>
          <w:sz w:val="22"/>
        </w:rPr>
        <w:sectPr>
          <w:pgSz w:w="11910" w:h="16850"/>
          <w:pgMar w:top="560" w:bottom="280" w:left="1020" w:right="480"/>
        </w:sectPr>
      </w:pPr>
    </w:p>
    <w:p>
      <w:pPr>
        <w:pStyle w:val="BodyText"/>
      </w:pPr>
      <w:r>
        <w:rPr/>
        <w:pict>
          <v:group style="position:absolute;margin-left:49.990002pt;margin-top:38.650013pt;width:512.35pt;height:758.25pt;mso-position-horizontal-relative:page;mso-position-vertical-relative:page;z-index:-22480" coordorigin="1000,773" coordsize="10247,15165">
            <v:shape style="position:absolute;left:1013;top:1254;width:10226;height:14" coordorigin="1014,1254" coordsize="10226,14" path="m11225,1261l11239,1261m1014,1254l1014,1268e" filled="false" stroked="true" strokeweight=".68pt" strokecolor="#000000">
              <v:path arrowok="t"/>
              <v:stroke dashstyle="solid"/>
            </v:shape>
            <v:shape style="position:absolute;left:999;top:1226;width:10246;height:14705" type="#_x0000_t75" stroked="false">
              <v:imagedata r:id="rId6" o:title=""/>
            </v:shape>
            <v:shape style="position:absolute;left:1020;top:1247;width:10205;height:14684" coordorigin="1020,1247" coordsize="10205,14684" path="m1020,15931l1020,1247m11225,15931l11225,1247e" filled="false" stroked="true" strokeweight=".69pt" strokecolor="#ffffff">
              <v:path arrowok="t"/>
              <v:stroke dashstyle="solid"/>
            </v:shape>
            <v:line style="position:absolute" from="1020,1247" to="11225,1247" stroked="true" strokeweight=".69pt" strokecolor="#000000">
              <v:stroke dashstyle="solid"/>
            </v:line>
            <v:line style="position:absolute" from="1020,15931" to="11225,15931" stroked="true" strokeweight=".69pt" strokecolor="#ffffff">
              <v:stroke dashstyle="solid"/>
            </v:line>
            <v:shape style="position:absolute;left:1006;top:780;width:10233;height:14711" coordorigin="1007,780" coordsize="10233,14711" path="m1007,794l1007,15477m1034,794l1034,15477m11211,794l11211,15477m11239,794l11239,15477m1020,807l11225,807m1020,780l11225,780m1020,15491l11225,15491m1020,15463l11225,15463e" filled="false" stroked="true" strokeweight=".69pt" strokecolor="#000000">
              <v:path arrowok="t"/>
              <v:stroke dashstyle="solid"/>
            </v:shape>
            <w10:wrap type="none"/>
          </v:group>
        </w:pict>
      </w:r>
      <w:bookmarkStart w:name="Чертеж" w:id="1"/>
      <w:bookmarkEnd w:id="1"/>
      <w:r>
        <w:rPr>
          <w:b w:val="0"/>
        </w:rPr>
      </w:r>
      <w:r>
        <w:rPr>
          <w:w w:val="105"/>
        </w:rPr>
        <w:t>Схема расположения границ публичного сервитута</w:t>
      </w:r>
    </w:p>
    <w:sectPr>
      <w:pgSz w:w="11910" w:h="16840"/>
      <w:pgMar w:top="740" w:bottom="280" w:left="880" w:right="5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>
      <w:spacing w:before="84"/>
      <w:ind w:left="2103"/>
    </w:pPr>
    <w:rPr>
      <w:rFonts w:ascii="Times New Roman" w:hAnsi="Times New Roman" w:eastAsia="Times New Roman" w:cs="Times New Roman"/>
      <w:b/>
      <w:bCs/>
      <w:sz w:val="26"/>
      <w:szCs w:val="26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>
      <w:jc w:val="center"/>
    </w:pPr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fax@css.rzd.ru" TargetMode="External"/><Relationship Id="rId6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Описание местоположения границ</dc:subject>
  <dc:title>Report</dc:title>
  <dcterms:created xsi:type="dcterms:W3CDTF">2023-04-03T10:07:35Z</dcterms:created>
  <dcterms:modified xsi:type="dcterms:W3CDTF">2023-04-03T10:07:35Z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2023-03-22T00:00:00Z</vt:filetime>
  </property>
  <property fmtid="{D5CDD505-2E9C-101B-9397-08002B2CF9AE}" pid="3" name="Creator">
    <vt:lpwstr>Acrobat PDFMaker 17 для Word</vt:lpwstr>
  </property>
  <property fmtid="{D5CDD505-2E9C-101B-9397-08002B2CF9AE}" pid="4" name="LastSaved">
    <vt:filetime>2023-04-03T00:00:00Z</vt:filetime>
  </property>
</Properties>
</file>