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D03A2C" w14:paraId="0EC828EC" w14:textId="77777777" w:rsidTr="00372F23">
        <w:trPr>
          <w:trHeight w:val="1275"/>
        </w:trPr>
        <w:tc>
          <w:tcPr>
            <w:tcW w:w="3261" w:type="dxa"/>
            <w:shd w:val="clear" w:color="auto" w:fill="auto"/>
          </w:tcPr>
          <w:p w14:paraId="0A092F8B" w14:textId="77777777" w:rsidR="00D03A2C" w:rsidRDefault="00D03A2C" w:rsidP="00372F23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1D71AD1B" w14:textId="77777777" w:rsidR="00D03A2C" w:rsidRDefault="00D03A2C" w:rsidP="00372F23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14:paraId="2D0AB4D5" w14:textId="77777777" w:rsidR="00D03A2C" w:rsidRDefault="00D03A2C" w:rsidP="00372F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Минусинского городского Совета депутатов седьмого созыва</w:t>
            </w:r>
          </w:p>
        </w:tc>
      </w:tr>
    </w:tbl>
    <w:p w14:paraId="2FD69B89" w14:textId="77777777" w:rsidR="00D03A2C" w:rsidRDefault="00D03A2C" w:rsidP="00D03A2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D03A2C" w14:paraId="22D01FF1" w14:textId="77777777" w:rsidTr="00372F23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57199A47" w14:textId="056BB503" w:rsidR="00D03A2C" w:rsidRPr="00D03A2C" w:rsidRDefault="00D03A2C" w:rsidP="00D03A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14:paraId="0C4088E3" w14:textId="77777777" w:rsidR="00D03A2C" w:rsidRDefault="00D03A2C" w:rsidP="00372F23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03A2C" w14:paraId="5CA18E18" w14:textId="77777777" w:rsidTr="00372F23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25663239" w14:textId="77777777" w:rsidR="00D03A2C" w:rsidRDefault="00D03A2C" w:rsidP="00372F23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14:paraId="3CD5234F" w14:textId="77777777" w:rsidR="00D03A2C" w:rsidRDefault="00D03A2C" w:rsidP="00D03A2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14:paraId="57B85973" w14:textId="77777777" w:rsidR="00D03A2C" w:rsidRDefault="00D03A2C" w:rsidP="00D03A2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D03A2C" w14:paraId="504EF6C8" w14:textId="77777777" w:rsidTr="00372F23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64C831E" w14:textId="77777777" w:rsidR="00D03A2C" w:rsidRDefault="00D03A2C" w:rsidP="00372F23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t xml:space="preserve">Выборы депутатов Минусинского городского Совета депутатов седьмого созыва </w:t>
            </w:r>
          </w:p>
        </w:tc>
      </w:tr>
      <w:tr w:rsidR="00D03A2C" w14:paraId="37AB32FE" w14:textId="77777777" w:rsidTr="00372F23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005E2B2E" w14:textId="77777777" w:rsidR="00D03A2C" w:rsidRDefault="00D03A2C" w:rsidP="00372F23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03A2C" w14:paraId="706A3611" w14:textId="77777777" w:rsidTr="00372F23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DD0055A" w14:textId="6EC47E4F" w:rsidR="00D03A2C" w:rsidRPr="00FC3C4F" w:rsidRDefault="00FC3C4F" w:rsidP="00372F23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Минаков Иван Александрович</w:t>
            </w:r>
            <w:r w:rsidR="00D03A2C">
              <w:rPr>
                <w:b w:val="0"/>
                <w:sz w:val="22"/>
                <w:szCs w:val="22"/>
              </w:rPr>
              <w:t xml:space="preserve">, одномандатный избирательный округ № </w:t>
            </w:r>
            <w:r w:rsidRPr="00FC3C4F">
              <w:rPr>
                <w:b w:val="0"/>
                <w:sz w:val="22"/>
                <w:szCs w:val="22"/>
              </w:rPr>
              <w:t>8</w:t>
            </w:r>
          </w:p>
        </w:tc>
      </w:tr>
      <w:tr w:rsidR="00D03A2C" w14:paraId="35F0FB3B" w14:textId="77777777" w:rsidTr="00372F23">
        <w:trPr>
          <w:trHeight w:val="399"/>
        </w:trPr>
        <w:tc>
          <w:tcPr>
            <w:tcW w:w="10157" w:type="dxa"/>
            <w:shd w:val="clear" w:color="auto" w:fill="auto"/>
          </w:tcPr>
          <w:p w14:paraId="35A92B5A" w14:textId="77777777" w:rsidR="00D03A2C" w:rsidRDefault="00D03A2C" w:rsidP="00372F23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D03A2C" w14:paraId="3069EA22" w14:textId="77777777" w:rsidTr="00372F23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78E2D09C" w14:textId="326EA1C0" w:rsidR="00D03A2C" w:rsidRDefault="00D03A2C" w:rsidP="001E3C76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</w:t>
            </w:r>
            <w:r w:rsidR="002E0717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3100900002</w:t>
            </w:r>
            <w:r w:rsidR="00E111D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03A2C">
              <w:rPr>
                <w:b/>
                <w:bCs/>
                <w:sz w:val="22"/>
                <w:szCs w:val="22"/>
              </w:rPr>
              <w:t>дополнительный офис № 8646/</w:t>
            </w:r>
            <w:r w:rsidR="0097115F">
              <w:rPr>
                <w:b/>
                <w:bCs/>
                <w:sz w:val="22"/>
                <w:szCs w:val="22"/>
              </w:rPr>
              <w:t>0304</w:t>
            </w:r>
            <w:r w:rsidRPr="00D03A2C">
              <w:rPr>
                <w:b/>
                <w:bCs/>
                <w:sz w:val="22"/>
                <w:szCs w:val="22"/>
              </w:rPr>
              <w:t xml:space="preserve"> ПАО Сбербанк, г. Минусинск, ул. </w:t>
            </w:r>
            <w:r>
              <w:rPr>
                <w:b/>
                <w:bCs/>
                <w:sz w:val="22"/>
                <w:szCs w:val="22"/>
              </w:rPr>
              <w:t xml:space="preserve">Абаканская, </w:t>
            </w:r>
            <w:r w:rsidR="001E3C76">
              <w:rPr>
                <w:b/>
                <w:bCs/>
                <w:sz w:val="22"/>
                <w:szCs w:val="22"/>
              </w:rPr>
              <w:t xml:space="preserve">д.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BE4D3C">
              <w:rPr>
                <w:b/>
                <w:bCs/>
                <w:sz w:val="22"/>
                <w:szCs w:val="22"/>
              </w:rPr>
              <w:t>, пом. 1</w:t>
            </w:r>
          </w:p>
        </w:tc>
      </w:tr>
      <w:tr w:rsidR="00D03A2C" w14:paraId="6239B275" w14:textId="77777777" w:rsidTr="00372F23">
        <w:trPr>
          <w:trHeight w:val="218"/>
        </w:trPr>
        <w:tc>
          <w:tcPr>
            <w:tcW w:w="10157" w:type="dxa"/>
            <w:shd w:val="clear" w:color="auto" w:fill="auto"/>
          </w:tcPr>
          <w:p w14:paraId="6A47DEC2" w14:textId="77777777" w:rsidR="00D03A2C" w:rsidRDefault="00D03A2C" w:rsidP="00372F23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14:paraId="5A80279E" w14:textId="77777777" w:rsidR="00D03A2C" w:rsidRDefault="00D03A2C" w:rsidP="00D03A2C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017CAE92" w14:textId="77777777" w:rsidR="00D03A2C" w:rsidRDefault="00D03A2C" w:rsidP="00D03A2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 xml:space="preserve">«___» ___________ </w:t>
      </w:r>
      <w:r>
        <w:rPr>
          <w:rFonts w:ascii="Times New Roman" w:hAnsi="Times New Roman" w:cs="Times New Roman"/>
        </w:rPr>
        <w:t>20__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D03A2C" w14:paraId="36CD7351" w14:textId="77777777" w:rsidTr="00372F23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41C62C" w14:textId="77777777"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5C4321" w14:textId="77777777"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8105B" w14:textId="77777777"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86091" w14:textId="77777777"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3A2C" w14:paraId="2DE80D27" w14:textId="77777777" w:rsidTr="00372F23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DBFB3" w14:textId="77777777" w:rsidR="00D03A2C" w:rsidRDefault="00D03A2C" w:rsidP="00372F2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FDE44" w14:textId="77777777" w:rsidR="00D03A2C" w:rsidRDefault="00D03A2C" w:rsidP="00372F2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E9EEF" w14:textId="77777777" w:rsidR="00D03A2C" w:rsidRDefault="00D03A2C" w:rsidP="00372F2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2B90" w14:textId="77777777" w:rsidR="00D03A2C" w:rsidRDefault="00D03A2C" w:rsidP="00372F2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03A2C" w14:paraId="1B6F010F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D62D7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D5AB7F" w14:textId="77777777"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20F55D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1BC89" w14:textId="45072981" w:rsidR="00D03A2C" w:rsidRDefault="00BE4D3C" w:rsidP="00BE4D3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AC61D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14:paraId="63A2F1F3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84A9C" w14:textId="77777777" w:rsidR="00D03A2C" w:rsidRDefault="00D03A2C" w:rsidP="00372F23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D03A2C" w14:paraId="0F3C3997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8E8B7" w14:textId="77777777" w:rsidR="00D03A2C" w:rsidRDefault="00D03A2C" w:rsidP="00372F23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4B4D6" w14:textId="77777777" w:rsidR="00D03A2C" w:rsidRDefault="00D03A2C" w:rsidP="00372F23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A2F11" w14:textId="77777777" w:rsidR="00D03A2C" w:rsidRDefault="00D03A2C" w:rsidP="00372F2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C50ED" w14:textId="4A1270EB" w:rsidR="00D03A2C" w:rsidRDefault="00BE4D3C" w:rsidP="00BE4D3C">
            <w:pPr>
              <w:snapToGrid w:val="0"/>
              <w:spacing w:after="0" w:line="240" w:lineRule="auto"/>
              <w:jc w:val="center"/>
            </w:pPr>
            <w: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98550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26C80A71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9FC12" w14:textId="77777777" w:rsidR="00D03A2C" w:rsidRDefault="00D03A2C" w:rsidP="00372F23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D03A2C" w14:paraId="6F0A70C5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456AF7" w14:textId="77777777" w:rsidR="00D03A2C" w:rsidRDefault="00D03A2C" w:rsidP="00372F23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255E5E" w14:textId="77777777" w:rsidR="00D03A2C" w:rsidRDefault="00D03A2C" w:rsidP="00372F23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A237C8" w14:textId="77777777" w:rsidR="00D03A2C" w:rsidRDefault="00D03A2C" w:rsidP="00372F2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2C268" w14:textId="417ABDAC" w:rsidR="00D03A2C" w:rsidRDefault="00BE4D3C" w:rsidP="00372F23">
            <w:pPr>
              <w:snapToGrid w:val="0"/>
              <w:spacing w:after="0" w:line="240" w:lineRule="auto"/>
              <w:jc w:val="center"/>
            </w:pPr>
            <w: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8E5F3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642F9F7E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51911" w14:textId="77777777" w:rsidR="00D03A2C" w:rsidRDefault="00D03A2C" w:rsidP="00372F23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FA9C5" w14:textId="77777777" w:rsidR="00D03A2C" w:rsidRDefault="00D03A2C" w:rsidP="00372F23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50C980" w14:textId="77777777" w:rsidR="00D03A2C" w:rsidRDefault="00D03A2C" w:rsidP="00372F2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F12A8" w14:textId="6D913A05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BAB19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1B1B0BF1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069492" w14:textId="77777777" w:rsidR="00D03A2C" w:rsidRDefault="00D03A2C" w:rsidP="00372F23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E58D1" w14:textId="77777777" w:rsidR="00D03A2C" w:rsidRDefault="00D03A2C" w:rsidP="00372F23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2111D" w14:textId="77777777" w:rsidR="00D03A2C" w:rsidRDefault="00D03A2C" w:rsidP="00372F2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72814" w14:textId="06AD3A04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56FD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11F49935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5E2D5" w14:textId="77777777" w:rsidR="00D03A2C" w:rsidRDefault="00D03A2C" w:rsidP="00372F23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FBEDC1" w14:textId="77777777" w:rsidR="00D03A2C" w:rsidRDefault="00D03A2C" w:rsidP="00372F23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CE001" w14:textId="77777777" w:rsidR="00D03A2C" w:rsidRDefault="00D03A2C" w:rsidP="00372F2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A4681" w14:textId="6CDB4166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F88EC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5BD94079" w14:textId="77777777" w:rsidTr="00372F23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A64710" w14:textId="77777777" w:rsidR="00D03A2C" w:rsidRDefault="00D03A2C" w:rsidP="00372F23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13596" w14:textId="3ED00A09" w:rsidR="00D03A2C" w:rsidRDefault="00D03A2C" w:rsidP="00372F23">
            <w:pPr>
              <w:spacing w:after="0" w:line="240" w:lineRule="auto"/>
            </w:pPr>
            <w:r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 w:rsidR="00BE4D3C">
              <w:t xml:space="preserve"> </w:t>
            </w:r>
            <w:r>
              <w:t xml:space="preserve">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1903D" w14:textId="77777777" w:rsidR="00D03A2C" w:rsidRDefault="00D03A2C" w:rsidP="00372F23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73859" w14:textId="6793E5E5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96D0C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4FC9DB0F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B3700" w14:textId="77777777" w:rsidR="00D03A2C" w:rsidRDefault="00D03A2C" w:rsidP="00372F23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D03A2C" w14:paraId="42E4CE10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E5A30C" w14:textId="77777777" w:rsidR="00D03A2C" w:rsidRDefault="00D03A2C" w:rsidP="00372F23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ACB99C" w14:textId="77777777" w:rsidR="00D03A2C" w:rsidRDefault="00D03A2C" w:rsidP="00372F23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595CA2" w14:textId="77777777" w:rsidR="00D03A2C" w:rsidRDefault="00D03A2C" w:rsidP="00372F2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366DA" w14:textId="30DDB5BA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D9549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4D8347E9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20CA9" w14:textId="77777777" w:rsidR="00D03A2C" w:rsidRDefault="00D03A2C" w:rsidP="00372F23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C88DC" w14:textId="77777777" w:rsidR="00D03A2C" w:rsidRDefault="00D03A2C" w:rsidP="00372F23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B351E" w14:textId="77777777" w:rsidR="00D03A2C" w:rsidRDefault="00D03A2C" w:rsidP="00372F23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C18787" w14:textId="449163A2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938C3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38434B" w14:paraId="031F8B93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6AA2E4" w14:textId="77777777" w:rsidR="0038434B" w:rsidRDefault="0038434B" w:rsidP="0038434B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7D839" w14:textId="77777777" w:rsidR="0038434B" w:rsidRDefault="0038434B" w:rsidP="0038434B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EE2EB" w14:textId="77777777" w:rsidR="0038434B" w:rsidRDefault="0038434B" w:rsidP="0038434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C40D8A" w14:textId="732CB764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911DF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83B81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237637B2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3A335B" w14:textId="77777777" w:rsidR="0038434B" w:rsidRDefault="0038434B" w:rsidP="0038434B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D129AB" w14:textId="77777777" w:rsidR="0038434B" w:rsidRDefault="0038434B" w:rsidP="0038434B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38360C" w14:textId="77777777" w:rsidR="0038434B" w:rsidRDefault="0038434B" w:rsidP="0038434B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E5BA7" w14:textId="15847CDA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911DF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E1B9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D03A2C" w14:paraId="16951143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37811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1D3D4" w14:textId="77777777"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0859EF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F11A5" w14:textId="16B6850C"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CF65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14:paraId="4C672AD4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FA53" w14:textId="77777777" w:rsidR="00D03A2C" w:rsidRDefault="00D03A2C" w:rsidP="00372F23">
            <w:pPr>
              <w:spacing w:after="0" w:line="240" w:lineRule="auto"/>
            </w:pPr>
            <w:r>
              <w:t>в том числе</w:t>
            </w:r>
          </w:p>
        </w:tc>
      </w:tr>
      <w:tr w:rsidR="00D03A2C" w14:paraId="560C059D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E2D76A" w14:textId="77777777" w:rsidR="00D03A2C" w:rsidRDefault="00D03A2C" w:rsidP="00372F23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ED387" w14:textId="77777777" w:rsidR="00D03A2C" w:rsidRDefault="00D03A2C" w:rsidP="00372F23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B5A999" w14:textId="77777777" w:rsidR="00D03A2C" w:rsidRDefault="00D03A2C" w:rsidP="00372F23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83E54" w14:textId="731AECA1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BFDFF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05351E30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03A0B" w14:textId="77777777" w:rsidR="00D03A2C" w:rsidRDefault="00D03A2C" w:rsidP="00372F23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FF81F4" w14:textId="77777777" w:rsidR="00D03A2C" w:rsidRDefault="00D03A2C" w:rsidP="00372F23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92BD5" w14:textId="77777777" w:rsidR="00D03A2C" w:rsidRDefault="00D03A2C" w:rsidP="00372F23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35B14" w14:textId="6AF4E36F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D9CB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12450567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B7F4" w14:textId="77777777" w:rsidR="00D03A2C" w:rsidRDefault="00D03A2C" w:rsidP="00372F23">
            <w:pPr>
              <w:spacing w:after="0" w:line="240" w:lineRule="auto"/>
            </w:pPr>
            <w:r>
              <w:t>из них</w:t>
            </w:r>
          </w:p>
        </w:tc>
      </w:tr>
      <w:tr w:rsidR="0038434B" w14:paraId="7FBC7341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CECFA42" w14:textId="77777777" w:rsidR="0038434B" w:rsidRDefault="0038434B" w:rsidP="0038434B">
            <w:pPr>
              <w:spacing w:after="0" w:line="240" w:lineRule="auto"/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49BEDF" w14:textId="77777777" w:rsidR="0038434B" w:rsidRDefault="0038434B" w:rsidP="0038434B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2C4574" w14:textId="77777777" w:rsidR="0038434B" w:rsidRDefault="0038434B" w:rsidP="0038434B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71682E" w14:textId="76E3C4AD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67BE8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2B29F677" w14:textId="77777777" w:rsidTr="00372F23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E8E1A" w14:textId="77777777" w:rsidR="0038434B" w:rsidRDefault="0038434B" w:rsidP="0038434B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BE87A4" w14:textId="77777777" w:rsidR="0038434B" w:rsidRDefault="0038434B" w:rsidP="0038434B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64C5D" w14:textId="77777777" w:rsidR="0038434B" w:rsidRDefault="0038434B" w:rsidP="0038434B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8C3E96" w14:textId="1AFD2A6B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9E02E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1EA60162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0FE16" w14:textId="77777777" w:rsidR="0038434B" w:rsidRDefault="0038434B" w:rsidP="0038434B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05713" w14:textId="77777777" w:rsidR="0038434B" w:rsidRDefault="0038434B" w:rsidP="0038434B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95FDF" w14:textId="77777777" w:rsidR="0038434B" w:rsidRDefault="0038434B" w:rsidP="0038434B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FE466" w14:textId="7D51113A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9F699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6799253D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FD01C" w14:textId="77777777" w:rsidR="0038434B" w:rsidRDefault="0038434B" w:rsidP="0038434B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2FB543" w14:textId="77777777" w:rsidR="0038434B" w:rsidRDefault="0038434B" w:rsidP="0038434B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9A52D" w14:textId="77777777" w:rsidR="0038434B" w:rsidRDefault="0038434B" w:rsidP="0038434B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2A763" w14:textId="2A0ECD6A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C3425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D03A2C" w14:paraId="05C0A610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67F08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448FF" w14:textId="77777777"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61387A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071FD" w14:textId="7D500498"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1F6A9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14:paraId="45093FD7" w14:textId="77777777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602B" w14:textId="77777777" w:rsidR="00D03A2C" w:rsidRDefault="00D03A2C" w:rsidP="00372F23">
            <w:pPr>
              <w:spacing w:after="0" w:line="240" w:lineRule="auto"/>
            </w:pPr>
            <w:r>
              <w:t>в том числе</w:t>
            </w:r>
          </w:p>
        </w:tc>
      </w:tr>
      <w:tr w:rsidR="00D03A2C" w14:paraId="3F6250EE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E2FC5E" w14:textId="77777777" w:rsidR="00D03A2C" w:rsidRDefault="00D03A2C" w:rsidP="00372F23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84CC9" w14:textId="77777777" w:rsidR="00D03A2C" w:rsidRDefault="00D03A2C" w:rsidP="00372F23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67C0F" w14:textId="77777777" w:rsidR="00D03A2C" w:rsidRDefault="00D03A2C" w:rsidP="00372F2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F21866" w14:textId="1AEA5ED2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30,00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EEFCC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14:paraId="33AA05F4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7A2FD" w14:textId="77777777" w:rsidR="00D03A2C" w:rsidRDefault="00D03A2C" w:rsidP="00372F23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C4864C" w14:textId="77777777" w:rsidR="00D03A2C" w:rsidRDefault="00D03A2C" w:rsidP="00372F23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0E8E7" w14:textId="77777777" w:rsidR="00D03A2C" w:rsidRDefault="00D03A2C" w:rsidP="00372F23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3B0D9" w14:textId="61B6B6EF"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440E3" w14:textId="77777777"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38434B" w14:paraId="153D6BAB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3320B" w14:textId="77777777" w:rsidR="0038434B" w:rsidRDefault="0038434B" w:rsidP="0038434B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37FA7" w14:textId="77777777" w:rsidR="0038434B" w:rsidRDefault="0038434B" w:rsidP="0038434B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94F13A" w14:textId="77777777" w:rsidR="0038434B" w:rsidRDefault="0038434B" w:rsidP="0038434B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F70375" w14:textId="04CB7513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C5AA0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71986FDA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5833CB" w14:textId="77777777" w:rsidR="0038434B" w:rsidRDefault="0038434B" w:rsidP="0038434B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7E730" w14:textId="77777777" w:rsidR="0038434B" w:rsidRDefault="0038434B" w:rsidP="0038434B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FCDA67" w14:textId="77777777" w:rsidR="0038434B" w:rsidRDefault="0038434B" w:rsidP="0038434B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538395" w14:textId="0C570C7C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B8D4D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75E1F2B8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7F6D6" w14:textId="77777777" w:rsidR="0038434B" w:rsidRDefault="0038434B" w:rsidP="0038434B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50DF0" w14:textId="77777777" w:rsidR="0038434B" w:rsidRDefault="0038434B" w:rsidP="0038434B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4491C0" w14:textId="77777777" w:rsidR="0038434B" w:rsidRDefault="0038434B" w:rsidP="0038434B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82089" w14:textId="02869577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4DA92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1FE3964A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97B52" w14:textId="77777777" w:rsidR="0038434B" w:rsidRDefault="0038434B" w:rsidP="0038434B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CEA01" w14:textId="77777777" w:rsidR="0038434B" w:rsidRDefault="0038434B" w:rsidP="0038434B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A13E2" w14:textId="77777777" w:rsidR="0038434B" w:rsidRDefault="0038434B" w:rsidP="0038434B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B80A" w14:textId="0020B45A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64A0D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63039C5B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945E2" w14:textId="77777777" w:rsidR="0038434B" w:rsidRDefault="0038434B" w:rsidP="0038434B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AE75C" w14:textId="77777777" w:rsidR="0038434B" w:rsidRDefault="0038434B" w:rsidP="0038434B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AA2CA" w14:textId="77777777" w:rsidR="0038434B" w:rsidRDefault="0038434B" w:rsidP="0038434B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E40EA6" w14:textId="01B38411" w:rsidR="0038434B" w:rsidRDefault="0038434B" w:rsidP="0038434B">
            <w:pPr>
              <w:snapToGrid w:val="0"/>
              <w:spacing w:after="0" w:line="36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2EC65" w14:textId="77777777" w:rsidR="0038434B" w:rsidRDefault="0038434B" w:rsidP="0038434B">
            <w:pPr>
              <w:snapToGrid w:val="0"/>
              <w:spacing w:after="0" w:line="360" w:lineRule="auto"/>
            </w:pPr>
          </w:p>
        </w:tc>
      </w:tr>
      <w:tr w:rsidR="0038434B" w14:paraId="554C5373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923BB5" w14:textId="77777777" w:rsidR="0038434B" w:rsidRDefault="0038434B" w:rsidP="0038434B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950C4" w14:textId="77777777" w:rsidR="0038434B" w:rsidRDefault="0038434B" w:rsidP="0038434B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C4A04" w14:textId="77777777" w:rsidR="0038434B" w:rsidRDefault="0038434B" w:rsidP="0038434B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05AFC" w14:textId="5EDE4075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F6616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7B8B396D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A4D79" w14:textId="77777777" w:rsidR="0038434B" w:rsidRDefault="0038434B" w:rsidP="0038434B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EB0DF9" w14:textId="77777777" w:rsidR="0038434B" w:rsidRDefault="0038434B" w:rsidP="0038434B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3DC67" w14:textId="77777777" w:rsidR="0038434B" w:rsidRDefault="0038434B" w:rsidP="0038434B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B382E" w14:textId="0F5BB29D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7119A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14:paraId="0360CC6C" w14:textId="77777777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70DCD" w14:textId="77777777" w:rsidR="0038434B" w:rsidRDefault="0038434B" w:rsidP="0038434B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9270C" w14:textId="77777777" w:rsidR="0038434B" w:rsidRDefault="0038434B" w:rsidP="0038434B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6BCC54" w14:textId="77777777" w:rsidR="0038434B" w:rsidRDefault="0038434B" w:rsidP="0038434B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A8B9C" w14:textId="4BDFFB97"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A9206" w14:textId="77777777"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D03A2C" w14:paraId="779BD7AC" w14:textId="77777777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EEF5A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1184E" w14:textId="77777777" w:rsidR="00D03A2C" w:rsidRDefault="00D03A2C" w:rsidP="00372F23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E1C30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C2B96" w14:textId="3A71B04C"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104A4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14:paraId="7ED3E02D" w14:textId="77777777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ADE85B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7C31A" w14:textId="77777777"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16C48055" w14:textId="77777777" w:rsidR="00D03A2C" w:rsidRDefault="00D03A2C" w:rsidP="00372F23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7C0616" w14:textId="77777777"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23F3A" w14:textId="7DEF7375"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0679D" w14:textId="77777777"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214C1F00" w14:textId="77777777"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4E1833" w14:textId="77777777"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4F02FDCB" w14:textId="77777777"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D03A2C" w14:paraId="00BE266B" w14:textId="77777777" w:rsidTr="00372F23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40CF4777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AF5659D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3481984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007C2EE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24CE0678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0EDAF38D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D03A2C" w14:paraId="37BF09E0" w14:textId="77777777" w:rsidTr="00372F23">
        <w:trPr>
          <w:trHeight w:val="206"/>
        </w:trPr>
        <w:tc>
          <w:tcPr>
            <w:tcW w:w="4136" w:type="dxa"/>
            <w:shd w:val="clear" w:color="auto" w:fill="auto"/>
          </w:tcPr>
          <w:p w14:paraId="19D48135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86D99C9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FB17697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061F7AC1" w14:textId="77777777" w:rsidR="00D03A2C" w:rsidRDefault="00D03A2C" w:rsidP="00372F23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00B4EB99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03A2C" w14:paraId="025DE502" w14:textId="77777777" w:rsidTr="00372F23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36EAA02E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620FE6CA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715CAAC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0CE28E" w14:textId="77777777"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1B5C32A9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3B104567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7A43493F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D03A2C" w14:paraId="73B1E96E" w14:textId="77777777" w:rsidTr="00372F23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67273F96" w14:textId="77777777" w:rsidR="00D03A2C" w:rsidRDefault="00D03A2C" w:rsidP="00372F23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7BF50BB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318914B7" w14:textId="77777777" w:rsidR="00D03A2C" w:rsidRDefault="00D03A2C" w:rsidP="00372F23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72EC70D7" w14:textId="77777777"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B550E96" w14:textId="77777777"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7FF47C" w14:textId="77777777" w:rsidR="00D03A2C" w:rsidRDefault="00D03A2C"/>
    <w:sectPr w:rsidR="00D03A2C" w:rsidSect="00806C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3C01" w14:textId="77777777" w:rsidR="00A911B6" w:rsidRDefault="00A911B6" w:rsidP="00D03A2C">
      <w:pPr>
        <w:spacing w:after="0" w:line="240" w:lineRule="auto"/>
      </w:pPr>
      <w:r>
        <w:separator/>
      </w:r>
    </w:p>
  </w:endnote>
  <w:endnote w:type="continuationSeparator" w:id="0">
    <w:p w14:paraId="641388CD" w14:textId="77777777" w:rsidR="00A911B6" w:rsidRDefault="00A911B6" w:rsidP="00D0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E21E" w14:textId="77777777" w:rsidR="00A911B6" w:rsidRDefault="00A911B6" w:rsidP="00D03A2C">
      <w:pPr>
        <w:spacing w:after="0" w:line="240" w:lineRule="auto"/>
      </w:pPr>
      <w:r>
        <w:separator/>
      </w:r>
    </w:p>
  </w:footnote>
  <w:footnote w:type="continuationSeparator" w:id="0">
    <w:p w14:paraId="74B6BBE9" w14:textId="77777777" w:rsidR="00A911B6" w:rsidRDefault="00A911B6" w:rsidP="00D03A2C">
      <w:pPr>
        <w:spacing w:after="0" w:line="240" w:lineRule="auto"/>
      </w:pPr>
      <w:r>
        <w:continuationSeparator/>
      </w:r>
    </w:p>
  </w:footnote>
  <w:footnote w:id="1">
    <w:p w14:paraId="591D3A14" w14:textId="77777777" w:rsidR="00D03A2C" w:rsidRDefault="00D03A2C" w:rsidP="00D03A2C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5149E3D6" w14:textId="77777777" w:rsidR="00D03A2C" w:rsidRDefault="00D03A2C" w:rsidP="00D03A2C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1AB66907" w14:textId="77777777" w:rsidR="0038434B" w:rsidRDefault="0038434B" w:rsidP="0038434B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E7F4AD" w14:textId="77777777" w:rsidR="0038434B" w:rsidRDefault="0038434B" w:rsidP="0038434B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77A28775" w14:textId="77777777" w:rsidR="0038434B" w:rsidRDefault="0038434B" w:rsidP="0038434B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254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2C"/>
    <w:rsid w:val="001E3C76"/>
    <w:rsid w:val="002E0717"/>
    <w:rsid w:val="00324AAB"/>
    <w:rsid w:val="0038434B"/>
    <w:rsid w:val="00806CE2"/>
    <w:rsid w:val="008A54D2"/>
    <w:rsid w:val="0097115F"/>
    <w:rsid w:val="009E58A0"/>
    <w:rsid w:val="00A911B6"/>
    <w:rsid w:val="00BE4D3C"/>
    <w:rsid w:val="00D03A2C"/>
    <w:rsid w:val="00E111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D317"/>
  <w15:chartTrackingRefBased/>
  <w15:docId w15:val="{9C57976B-C16F-45F7-9FBF-1F4CE64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2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D03A2C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D03A2C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D03A2C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D03A2C"/>
    <w:rPr>
      <w:vertAlign w:val="superscript"/>
    </w:rPr>
  </w:style>
  <w:style w:type="character" w:customStyle="1" w:styleId="a4">
    <w:name w:val="Привязка сноски"/>
    <w:qFormat/>
    <w:rsid w:val="00D03A2C"/>
    <w:rPr>
      <w:vertAlign w:val="superscript"/>
    </w:rPr>
  </w:style>
  <w:style w:type="paragraph" w:customStyle="1" w:styleId="ConsPlusTitle">
    <w:name w:val="ConsPlusTitle"/>
    <w:qFormat/>
    <w:rsid w:val="00D03A2C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D03A2C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03A2C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D03A2C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D03A2C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Скворцова</dc:creator>
  <cp:keywords/>
  <dc:description/>
  <cp:lastModifiedBy>Наталья Скворцова</cp:lastModifiedBy>
  <cp:revision>4</cp:revision>
  <cp:lastPrinted>2022-07-19T09:10:00Z</cp:lastPrinted>
  <dcterms:created xsi:type="dcterms:W3CDTF">2022-07-22T05:26:00Z</dcterms:created>
  <dcterms:modified xsi:type="dcterms:W3CDTF">2022-07-22T08:33:00Z</dcterms:modified>
</cp:coreProperties>
</file>